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TH</w:t>
      </w:r>
      <w:r>
        <w:rPr>
          <w:rFonts w:ascii="Calibri" w:hAnsi="Calibri"/>
          <w:b/>
          <w:color w:val="1A2010"/>
          <w:sz w:val="40"/>
        </w:rPr>
        <w:t xml:space="preserve">  Target Hospitality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41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Business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Woodlands, TX provider of vertically integrated modular workforce accommodations and hospitality services for energy, government and large infrastructure projects.</w:t>
      </w:r>
    </w:p>
    <w:p>
      <w:r>
        <w:rPr>
          <w:rFonts w:ascii="Calibri" w:hAnsi="Calibri"/>
          <w:b/>
          <w:color w:val="6E8450"/>
          <w:sz w:val="18"/>
        </w:rPr>
        <w:t>https://www.targethospitality.com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2/3: Workforce Hospitality Solutions grew 142% to about $36M in Q2 with 9,000+ contracted beds and $1.4B of multiyear contracts, a significant new revenue stream [1]. AI 0/2: customers include AI data center builds but no AI deployment found. Share 1/2 as a leading specialty lodging provider, pipeline 2/2 (&gt;$700M 2027 annualized revenue target), R&amp;D 0/1.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2/4: 'relentless care' for remote workforce communities is clear and service-oriented [2]. Community 1/2: Corporate Responsibility Report and ChooseGreen energy for 19 lodges [3]. Retention 0/2 (Glassdoor 3.2/5 not counted) and insider buying 0/2: no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mechanically (Growth sleeve). D/E 13.1% 1.0, revenue growth 38.7% 1.0, forward P/E 20.7 scores 0.98, ROE -9.8% (2x) and margin -10.8% score 0; 5yr CAGR and PEG unavailable and excluded. Weighted 2.98 of 6 gives 5. Liquidity floor clear: about $31.6M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Target Hospitality is executing a growth pivot but remains contract-cycle driven with a finite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caring for remote workforce communities is genuine but reads as service positioning, not a decades-validated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stable CEO Brad Archer with 57% approval, but 2.6/5 culture and 1.9/5 work-life balance on Glassdoor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rival-learning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pivoted from oil-and-gas and government lodging toward data center and infrastructure workforce housing, incrementally.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(1/2): invested in WHS expansion and new awards as legacy government and Permian demand shifted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Q2 2026 revenue grew 39% to $85.5M and adjusted EBITDA rose more than 5x to $18.2M; full-year guidance was lifted to $410-420M revenue and $85-95M EBITDA, backed by $1.4B of new multiyear contracts and a &gt;$700M 2027 annualized revenue goal [1]. D/E is only 13%.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GAAP profit margin is -10.8% and ROE -9.8%, at 20.7x forward earnings the shares price in delivery, and the business is lumpy, contract-dependent and exposed to customer concentration. Glassdoor culture (2.6/5) and a 1.9/5 work-life score point to retention strain during rapid ramp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Ramp of 9,000+ contracted beds toward &gt;$700M 2027 annualized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Further WHS awards tied to data center and infrastructure buildouts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Guidance raises and margin expansion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Execution and capital intensity of bed deployments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Contract rollovers in legacy government and Permian segments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Persistent GAAP losses despite adjusted EBITDA growth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8/9: physical lodging for remote workforces cannot be displaced by AI, and AI data center and infrastructure buildouts are a demand tailwind [1]. AI Opportunity 0/1: no AI revenue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Target Hospitality Q2 2026 results and earnings call, Nasdaq / Yahoo Finance,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Target Hospitality reviews,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Target Hospitality 2023 Corporate Responsibility Report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