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TIGO</w:t>
      </w:r>
      <w:r>
        <w:rPr>
          <w:rFonts w:ascii="Calibri" w:hAnsi="Calibri"/>
          <w:b/>
          <w:color w:val="1A2010"/>
          <w:sz w:val="40"/>
        </w:rPr>
        <w:t xml:space="preserve">  Millicom International Cellular S.A.</w:t>
      </w:r>
    </w:p>
    <w:p>
      <w:pPr>
        <w:spacing w:after="120"/>
      </w:pPr>
      <w:r>
        <w:rPr>
          <w:rFonts w:ascii="Calibri" w:hAnsi="Calibri"/>
          <w:b/>
          <w:color w:val="6E8450"/>
          <w:sz w:val="18"/>
        </w:rPr>
        <w:t>DIVIDEND SLEEVE · 2026-09-25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NASDAQ · Luxembourg</w:t>
      </w:r>
    </w:p>
    <w:p>
      <w:pPr>
        <w:spacing w:after="80"/>
      </w:pPr>
      <w:r>
        <w:rPr>
          <w:rFonts w:ascii="Calibri" w:hAnsi="Calibri"/>
          <w:b w:val="0"/>
          <w:color w:val="3A4A28"/>
          <w:sz w:val="20"/>
        </w:rPr>
        <w:t>Millicom International Cellular operates under the Tigo brand across Latin America, providing mobile, broadband, pay-TV, and fixed-line services to residential and business customers. The company also offers mobile financial services (Tigo Money) including payments, money transfers, micro-insurance, and real-time loans. Millicom completed the transformative Coltel acquisition in Colombia in 2025, along with operations in Ecuador and Uruguay, driving reported revenue to $7.2B. CEO Marcelo Benitez was appointed in June 2024. Q2 2026 delivered record revenue of $2.18B (+59.4% YoY reported, +4.3% organic) and EBITDA exceeding $1.01B for the first time. Market cap approximately $15.3B.</w:t>
      </w:r>
    </w:p>
    <w:p>
      <w:r>
        <w:rPr>
          <w:rFonts w:ascii="Calibri" w:hAnsi="Calibri"/>
          <w:b/>
          <w:color w:val="6E8450"/>
          <w:sz w:val="18"/>
        </w:rPr>
        <w:t>14,250 Employees · https://www.millicom.com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Millicom executed the transformative Coltel acquisition in Colombia in 2025, fundamentally reshaping the company from a mobile-first operator into a converged fixed-mobile platform — Q2 2026 revenue surged 59.4% to $2.18B as a result [1]. Additional acquisitions in Ecuador and Uruguay expanded the geographic footprint. This represents a significant business model transformation from pure mobile to fixed+mobile convergence. AI Deployment (0/2): No AI-powered products shipping to customers or quantified AI-driven cost savings were identified in earnings materials or public communications [2]. Millicom's operations remain traditional telecom infrastructure and services. Market Share (1/2): Tigo holds meaningful market positions across nine Latin American countries including leading mobile positions in Guatemala, Honduras, Bolivia, and Paraguay, though it competes with larger operators like America Movil (Claro) and Telefonica in most markets [1]. The Coltel integration strengthens the Colombian position significantly. Product Pipeline (1/2): Fiber broadband expansion across Latin American markets, Tigo Business enterprise services (cloud, security, managed services), and mobile financial services (Tigo Money) represent incremental growth vectors, but no specific next-generation products with launch dates and revenue visibility were identified [1]. R&amp;D Intensity (0/1): As a telecom operator, Millicom invests in network infrastructure (capex) rather than R&amp;D; no R&amp;D spending data relative to revenue is reported.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Millicom's stated purpose — 'build the digital highways that connect people, improve lives, and support communities' — is specific, thoughtful, and connects telecom infrastructure to a larger purpose of digital inclusion and community development in underserved Latin American markets [2]. The 'Sangre TIGO' cultural framework (values, practices, and beliefs) demonstrates genuine intentionality beyond generic corporate statements. The purpose differentiates from peers by emphasizing community impact in emerging markets. Community Impact (1/2): Millicom provides mobile financial services (Tigo Money) to underbanked populations across Latin America, enabling payments, remittances, and micro-loans for communities with limited banking access [2]. However, no specific charitable foundation spending, community investment dollar amounts, or structured giving programs were identified beyond the financial inclusion impact of core products. Employee Retention (1/2): Tigo was recognized as a leading Great Place to Work in Latin America, ranking 13th among top multinational workplaces, suggesting above-average employee satisfaction and retention [2]. However, Glassdoor reviews present a mixed picture with some noting leadership quality concerns, and specific turnover or tenure data is not publicly available. Insider Buying (0/2): No evidence of meaningful net insider buying by CEO Marcelo Benitez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standout positives are Forward P/E of 12.91x and PEG of 0.32 (both scoring 1.0), ROE of 21.73% above the 15% target (1.0), and reported revenue growth of 59.4% YoY (1.0) driven by the Coltel acquisition with organic growth of ~5% [1][4]. The major drag is D/E of 485.16%, far exceeding the 300% floor and scoring 0 — reflecting $12.1B in total debt against $861M cash, though this high leverage is structural for telecom operators making large acquisitions. Profit margin of 9.18% scores 0.46 against the 20% target. Payout ratio of 74.81% is elevated, scoring 0.42 against the 40% target. Dividend history is limited post-COVID suspension: approximately 4 consecutive years paid since restart, with an estimated 3 years of consecutive growth and strong dividend growth CAGR. Free cash flow of $1.88B provides substantial coverage and the company raised 2026 equity FCF guidance to ~$1.1B [1]. Liquidity floor easily cleared with ~$115M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Millicom demonstrates elements of infinite game thinking through its genuine purpose of connecting underserved Latin American communities via digital infrastructure, and through bold acquisitions like Coltel that prioritize long-term market position over short-term earnings. The 'Sangre TIGO' culture framework and Great Place to Work recognition suggest institutional values beyond quarterly targets. However, the recent CEO transition to Marcelo Benitez in June 2024 introduces uncertainty about purpose continuity, the massive leverage taken on for acquisitions reflects finite-game growth optimization, and no evidence of worthy rivals or transformative self-reinvention was found.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'Build the digital highways that connect people, improve lives, and support communities' is a genuine cause that connects telecom infrastructure to digital inclusion in underserved Latin American markets [2]. This purpose is partially lived — Tigo Money provides financial services to the unbanked, broadband expansion brings connectivity to underserved areas, and the company's operations create economic opportunity in developing economies. However, the purpose has not been tested through crisis under the current CEO (Benitez since June 2024), and it's unclear whether it shapes strategic decisions beyond the obvious alignment between telecom investment and community connectivity.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Millicom's Great Place to Work certification — ranked 13th among top multinational workplaces in Latin America — signals above-average employee satisfaction and organizational trust [2]. The 'Sangre TIGO' cultural framework demonstrates intentional investment in values and behaviors. However, Glassdoor reviews present a mixed picture with some employees noting leadership quality concerns, and the June 2024 CEO transition introduces organizational change that could affect culture. With 14,250 employees across nine countries, maintaining consistent trust is challenging.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Millicom's management acknowledging competitors' strengths or framing competition as motivation for self-improvement [2]. In Latin American telecom, Millicom competes with America Movil (Claro) and Telefonica, but public communications focus on Tigo's own market position and growth rather than lessons learned from rivals. The acquisitive strategy (Coltel, Ecuador, Uruguay) suggests a market-share-driven competitive approach.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Millicom has evolved from a pure mobile operator to a converged fixed-mobile platform through the transformative Coltel acquisition and broadband investments, demonstrating willingness to adapt the business model [1]. The expansion into mobile financial services (Tigo Money) represents adjacent market entry. However, these are incremental evolutions within telecom rather than fundamental reinvention — the company is still a telecom operator in Latin America, just with a broader service portfolio.</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Coltel acquisition in Colombia was a major strategic bet — adding approximately $4B in debt to transform Millicom's business model and market position in a politically volatile Latin American market [1]. Maintaining investment in emerging market infrastructure through economic and political instability (Bolivia, Honduras, Nicaragua) demonstrates willingness to prioritize long-term positioning over short-term safety. However, the high leverage creates financial fragility that limits future flexibility, and earnings missed Q1 2026 EPS forecasts significantly ($0.65 vs $1.44 expected), raising questions about execution discipline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Millicom at 12.91x forward earnings and PEG of 0.32 offers compelling value for a Latin American telecom with record-breaking operational momentum. Q2 2026 revenue of $2.18B (+59.4% reported, +4.3% organic) and EBITDA exceeding $1.01B for the first time demonstrate the Coltel acquisition is scaling effectively [1]. The raised 2026 equity free cash flow guidance to ~$1.1B and leverage target below 2.5x signal improving financial health. ROE of 21.73% reflects efficient capital deployment, and the 3.3% dividend yield (recently reinstated and growing) provides income while investors wait for the integration to mature. Tigo's infrastructure position across nine Latin American countries creates a durable moat — fiber, towers, and spectrum are physical assets that AI disruption cannot replicate. Mobile financial services (Tigo Money) provide a digital growth vector in markets with low banking penetration.</w:t>
      </w:r>
    </w:p>
    <w:p>
      <w:pPr>
        <w:spacing w:after="120"/>
      </w:pPr>
      <w:r>
        <w:rPr>
          <w:rFonts w:ascii="Calibri" w:hAnsi="Calibri"/>
          <w:b w:val="0"/>
          <w:color w:val="3A4A28"/>
          <w:sz w:val="20"/>
        </w:rPr>
        <w:t>The bear case centers on leverage, execution risk, and earnings quality. D/E of 485% reflects $12.1B in total debt — an aggressive capital structure that leaves minimal margin for error if Latin American currencies depreciate, interest rates rise, or integration costs exceed projections [4]. Q1 2026 EPS of $0.65 massively missed the $1.44 consensus forecast, revealing that the Coltel integration headwinds are real and that reported revenue growth significantly overstates organic business momentum (organic growth only ~5%) [1]. Profit margin of 9.18% is thin for a company carrying this much debt, and the 74.81% payout ratio strains cash flow flexibility. Operating in Bolivia, Honduras, and Nicaragua exposes the company to political instability, currency controls, and regulatory risk that could impair asset values. The Inspire Impact Score of -62 (MISALIGNED) due to 'Sexually Explicit' content concerns limits allocation for faith-based investors despite numerous positive ESG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Coltel integration completion driving organic revenue acceleration beyond the current ~5% rate — management expects full synergy realization in 2027 with significant margin expansion as integration costs roll off [1]</w:t>
      </w:r>
    </w:p>
    <w:p>
      <w:pPr>
        <w:spacing w:before="40" w:after="40"/>
        <w:ind w:left="283"/>
      </w:pPr>
      <w:r>
        <w:rPr>
          <w:rFonts w:ascii="Calibri" w:hAnsi="Calibri"/>
          <w:b/>
          <w:color w:val="4A6B25"/>
          <w:sz w:val="20"/>
        </w:rPr>
        <w:t xml:space="preserve">2. </w:t>
      </w:r>
      <w:r>
        <w:rPr>
          <w:rFonts w:ascii="Calibri" w:hAnsi="Calibri"/>
          <w:b w:val="0"/>
          <w:color w:val="3A4A28"/>
          <w:sz w:val="20"/>
        </w:rPr>
        <w:t>Raised 2026 equity free cash flow guidance to ~$1.1B and leverage target below 2.5x — continued deleveraging could trigger credit rating upgrades and multiple expansion from the current 12.9x forward P/E [1]</w:t>
      </w:r>
    </w:p>
    <w:p>
      <w:pPr>
        <w:spacing w:before="40" w:after="40"/>
        <w:ind w:left="283"/>
      </w:pPr>
      <w:r>
        <w:rPr>
          <w:rFonts w:ascii="Calibri" w:hAnsi="Calibri"/>
          <w:b/>
          <w:color w:val="4A6B25"/>
          <w:sz w:val="20"/>
        </w:rPr>
        <w:t xml:space="preserve">3. </w:t>
      </w:r>
      <w:r>
        <w:rPr>
          <w:rFonts w:ascii="Calibri" w:hAnsi="Calibri"/>
          <w:b w:val="0"/>
          <w:color w:val="3A4A28"/>
          <w:sz w:val="20"/>
        </w:rPr>
        <w:t>Tigo Money expansion across Latin American markets serving the unbanked — mobile financial services represent a high-margin, asset-light growth vector with massive addressable market in a region with low banking penetration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485% and $12.1B total debt create acute financial vulnerability to Latin American currency depreciation, rising interest rates, or integration cost overruns — the Q1 2026 EPS miss ($0.65 vs $1.44 expected) demonstrates execution fragility [1][4]</w:t>
      </w:r>
    </w:p>
    <w:p>
      <w:pPr>
        <w:spacing w:before="40" w:after="40"/>
        <w:ind w:left="283"/>
      </w:pPr>
      <w:r>
        <w:rPr>
          <w:rFonts w:ascii="Calibri" w:hAnsi="Calibri"/>
          <w:b/>
          <w:color w:val="4A6B25"/>
          <w:sz w:val="20"/>
        </w:rPr>
        <w:t xml:space="preserve">2. </w:t>
      </w:r>
      <w:r>
        <w:rPr>
          <w:rFonts w:ascii="Calibri" w:hAnsi="Calibri"/>
          <w:b w:val="0"/>
          <w:color w:val="3A4A28"/>
          <w:sz w:val="20"/>
        </w:rPr>
        <w:t>Operating in Bolivia, Honduras, and Nicaragua exposes Millicom to political instability, currency controls, potential nationalization risk, and regulatory changes that could impair asset values or restrict capital repatriation</w:t>
      </w:r>
    </w:p>
    <w:p>
      <w:pPr>
        <w:spacing w:before="40" w:after="40"/>
        <w:ind w:left="283"/>
      </w:pPr>
      <w:r>
        <w:rPr>
          <w:rFonts w:ascii="Calibri" w:hAnsi="Calibri"/>
          <w:b/>
          <w:color w:val="4A6B25"/>
          <w:sz w:val="20"/>
        </w:rPr>
        <w:t xml:space="preserve">3. </w:t>
      </w:r>
      <w:r>
        <w:rPr>
          <w:rFonts w:ascii="Calibri" w:hAnsi="Calibri"/>
          <w:b w:val="0"/>
          <w:color w:val="3A4A28"/>
          <w:sz w:val="20"/>
        </w:rPr>
        <w:t>Organic revenue growth of only ~5% once acquisition effects are stripped out suggests the underlying business is growing modestly — if post-integration organic growth fails to accelerate, the current valuation premium over Latin American telecom peers may compress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Millicom's core business — physical telecom infrastructure including cell towers, fiber networks, data centers, and spectrum licenses across Latin America — cannot be replaced by AI [2]. Building and maintaining telecommunications networks in emerging markets requires substantial physical capital investment, regulatory relationships, and on-the-ground operations that AI structurally cannot displace. AI data centers and services increase demand for connectivity infrastructure. However, customer service, billing, and some enterprise service functions face moderate AI automation pressure, and competitive dynamics could shift if AI-native telecom services emerge. Analysts have not flagged AI as a significant disruption risk for Latin American telecom operators. AI Opportunity (0/1): No quantifiable AI revenue was identified. Millicom's mobile financial services (Tigo Money) could potentially leverage AI for credit scoring and fraud detection, but no specific AI-driven revenue or cost savings have been reported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Millicom Q2 2026 Earnings Release — Revenue $2.18B (+59.4% YoY), Record EBITDA &gt;$1.01B, Organic Service Revenue +5%, Raised 2026 Equity FCF Guidance to ~$1.1B, Q1 2026 EPS Miss $0.65 vs $1.44 Expected, July-August 2026</w:t>
      </w:r>
    </w:p>
    <w:p>
      <w:pPr>
        <w:spacing w:before="20" w:after="20"/>
        <w:ind w:left="170"/>
      </w:pPr>
      <w:r>
        <w:rPr>
          <w:rFonts w:ascii="Calibri" w:hAnsi="Calibri"/>
          <w:b/>
          <w:color w:val="4A6B25"/>
          <w:sz w:val="15"/>
        </w:rPr>
        <w:t xml:space="preserve">2. </w:t>
      </w:r>
      <w:r>
        <w:rPr>
          <w:rFonts w:ascii="Calibri" w:hAnsi="Calibri"/>
          <w:b w:val="0"/>
          <w:color w:val="3A4A28"/>
          <w:sz w:val="17"/>
        </w:rPr>
        <w:t>Millicom Company Website and Glassdoor — Purpose 'Build Digital Highways', Sangre TIGO Culture, CEO Marcelo Benitez (June 2024), Great Place to Work Latin America, 14,250 Employees,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Millicom ESG and Sustainability — ESG-Linked Credit Facility, No Major Controversies Identified, GlobalCapital, 2020-2026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TIGO Key Statistics: Price $91.00, D/E 485.16%, ROE 21.73%, Forward P/E 12.91, PEG 0.32, Profit Margin 9.18%, Avg Volume 1,264,815, Dividend Yield 3.3%,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