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TIGR</w:t>
      </w:r>
      <w:r>
        <w:rPr>
          <w:rFonts w:ascii="Calibri" w:hAnsi="Calibri"/>
          <w:b/>
          <w:color w:val="1A2010"/>
          <w:sz w:val="40"/>
        </w:rPr>
        <w:t xml:space="preserve">  UP Fintech Holding Limited</w:t>
      </w:r>
    </w:p>
    <w:p>
      <w:pPr>
        <w:spacing w:after="120"/>
      </w:pPr>
      <w:r>
        <w:rPr>
          <w:rFonts w:ascii="Calibri" w:hAnsi="Calibri"/>
          <w:b/>
          <w:color w:val="6E8450"/>
          <w:sz w:val="18"/>
        </w:rPr>
        <w:t>GROWTH SLEEVE · 2026-09-04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Singapore</w:t>
      </w:r>
    </w:p>
    <w:p>
      <w:pPr>
        <w:spacing w:after="80"/>
      </w:pPr>
      <w:r>
        <w:rPr>
          <w:rFonts w:ascii="Calibri" w:hAnsi="Calibri"/>
          <w:b w:val="0"/>
          <w:color w:val="3A4A28"/>
          <w:sz w:val="20"/>
        </w:rPr>
        <w:t>UP Fintech Holding (Tiger Brokers) is a leading online brokerage platform serving global investors, primarily Chinese-speaking users across Singapore, Hong Kong, the US, Australia, and New Zealand. Through its Tiger Trade app, the company offers trading in stocks, options, futures, and other financial instruments across multiple markets. It also provides wealth management, ESOP management, IPO underwriting, and investor education. Headquartered in Singapore. Named to CNBC's World's Top FinTech Companies 2026 for the second consecutive year. Q2 2026 revenue hit an all-time record of $182.3M.</w:t>
      </w:r>
    </w:p>
    <w:p>
      <w:r>
        <w:rPr>
          <w:rFonts w:ascii="Calibri" w:hAnsi="Calibri"/>
          <w:b/>
          <w:color w:val="6E8450"/>
          <w:sz w:val="18"/>
        </w:rPr>
        <w:t>https://www.itigerup.com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UP Fintech transformed from a China-focused retail brokerage into a global multi-market platform spanning Singapore, Australia, New Zealand, Hong Kong, and the US. FY2025 revenue surged 56.3% to $612.1M with non-GAAP net income of $186.5M (up 164.7%), and Q2 2026 set an all-time quarterly revenue record of $182.3M (+31.4% YoY), demonstrating sustained execution [1][2]. Named to CNBC's World's Top FinTech Companies for the second consecutive year in the Wealth Technology - Neobrokers category [5]. AI Deployment (2/2): Tiger Brokers launched TigerGPT/TigerAI, the first brokerage platform to integrate leading AI models for investment analysis, now available in Singapore, New Zealand, Australia, and Hong Kong [5]. TigerAI provides voice-interactive stock summaries, portfolio reviews, real-time financial reporting, and sentiment analysis, with 'exponential growth in conversational volume' in 2025. TradingFront AI delivers real-time portfolio analytics and risk exposure assessment to advisers [5]. Market Share (1/2): Tiger Brokers is a leading online brokerage among Chinese-speaking global investors with 32,600 new funded accounts in Q2 2026 (+12.7% QoQ), though it remains a niche player versus Interactive Brokers or Charles Schwab globally [2]. Pipeline (1/2): Continued geographic expansion with Singapore and Hong Kong contributing 70%+ of new funded accounts, TigerAI product development, and global client growth provide visibility, but specific new product launch timelines are limited [2]. R&amp;D Intensity (1/1): Founded by engineers (CEO Wu Tianhua from Tsinghua/NetEase/Goldman Sachs), the company invests heavily in platform technology and AI capabilities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Tiger Brokers' mission — 'making investing better through technology' — is clear and identifies a genuine purpose of democratizing global investing for retail investors through mobile-first technology [5]. However, it is not distinctive; most fintech brokerages make similar claims, and the mission doesn't articulate a deeper transformative vision. Community Impact (1/2): The company provides investor education, community engagement, and financial literacy resources through its platform, and its IPO underwriting services help emerging companies access capital markets [1]. Named to CNBC's Top FinTech list reflects industry recognition. Employee Retention (0/2): No publicly available employee retention data, Glassdoor reviews, or culture metrics. Employee headcount is not even disclosed in public filings [5]. Insider Buying (1/2): CEO Wu Tianhua founded the company and maintains significant ownership through a 40M+ share position, aligning personal wealth with company performance. His decision to leave Goldman Sachs to build Tiger Brokers signals long-term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UP Fintech's financial profile is exceptional across nearly all dimensions. D/E of 8% reflects minimal leverage with $4.49B cash against $66M debt — a net cash position of $4.43B or $24.87 per share [6]. ROE of 14.73% approaches the 15% target, with Q2 2026 net income of $39.4M demonstrating recovery from the Q1 CSRC fine-driven loss [2][6]. Revenue grew 31.4% YoY in Q2 2026 to a record $182.3M, with an estimated 5-year CAGR of approximately 35% [1][2]. Forward P/E of 7.42x is extraordinarily cheap for a company growing revenue 30%+ YoY — the market prices in significant regulatory and geopolitical risk following the CSRC $60M fine [4][6]. Forward PEG ratio of 0.59x is well below the 1.0 target, reflecting extreme growth-adjusted value. TTM net margin of 18.4% is near the 20% target, compressed by the Q1 2026 one-time regulatory penalty but recovering with Q2 profitability [2]. Liquidity floor cleared: 4.47M avg volume x ~$4.70 = ~$21M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UP Fintech shows limited infinite game characteristics. While the founder-led culture and global expansion vision demonstrate some long-term thinking, the CSRC investigation revealing illegal cross-border securities activities fundamentally undermines claims of principled leadership. The $60M fine for operating without proper licenses in mainland China — activities regulators flagged as far back as 2016 — exposes a growth-at-all-costs mentality incompatible with infinite game thinking. Q2 2026's record revenue recovery demonstrates operational resilience, but the underlying governance issue remains: the company knowingly operated in a regulatory grey zone for years.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Tiger Brokers' purpose — making investing better and more accessible through technology — is genuine but shallow in the Sinek sense [5]. Making global investing accessible to Chinese-speaking investors is a real societal benefit, but the company's communications overwhelmingly focus on funded client counts, revenue records, and geographic expansion rather than articulating why democratized investing matters for the world. The CNBC Top FinTech recognition validates the platform but doesn't elevate the cause. The cause is not distinctive enough to inspire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was founded by a technically accomplished team (CEO Wu Tianhua from Tsinghua/NetEase/Goldman Sachs) and has maintained leadership stability since founding in 2014 [5]. Q2 2026's record revenue of $182.3M and return to profitability ($39.4M net income) demonstrate effective team execution post-crisis [2]. However, no employee count is disclosed, no Glassdoor data exists, and the CSRC investigation into illegal activities raises serious questions about internal compliance culture — did employees feel safe raising concerns about unlicensed mainland operations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Tiger Brokers' competitive positioning is framed around being 'the first' (first to integrate AI models, first mobile-first brokerage for Chinese investors) and achieving records (record Q2 revenue) rather than learning from rivals' strengths [2][5]. Management commentary focuses on market leadership claims rather than acknowledging where Interactive Brokers, Futu Holdings, or established wealth managers excel. The competitive language is about winning, not improving.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Tiger Brokers showed meaningful strategic flexibility by pivoting from a China-focused brokerage to a Singapore-headquartered global platform after Chinese regulatory pressures threatened its original business model [4]. Q2 2026 data confirms the pivot is working — more than 70% of new funded accounts originate from Singapore and Hong Kong, demonstrating successful geographic diversification [2]. However, the pivot was driven by regulatory survival rather than proactive pursuit of a Just Cause, and the subsequent CSRC fine suggests the company never fully exited the problematic China-based activities.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CSRC investigation and $60M fine for conducting unlicensed cross-border securities and illegal fund and futures business in mainland China fundamentally undermines claims of courageous leadership [4]. The findings reveal the company pursued growth through activities Chinese regulators deemed illegal — and had flagged since 2016 — rather than building through principled compliance. Courage in Sinek's framework means acting in service of the Just Cause even when costly; circumventing regulations for growth is the opposite. While CEO Wu's original decision to leave Goldman Sachs showed personal conviction, the regulatory record undermines the company's leadership integrity.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UP Fintech delivered a record-setting Q2 2026 — revenue surged 31.4% YoY to an all-time high of $182.3M with net income of $39.4M, returning to profitability after the Q1 CSRC fine-driven loss [2]. At 7.42x forward P/E (PEG 0.59x) with 18.4% profit margins, 14.73% ROE, and a net cash position of $4.43B ($24.87/share), the stock trades at an extreme discount to its financial quality and growth rate [6]. FY2025 established a $612M revenue base growing 56%+, and the H1 2026 run rate of $337M annualizes to $674M+ [1][2]. The TigerAI platform — now operational in 4 markets with exponential user adoption — positions Tiger Brokers as an AI-differentiated neobroker, validated by CNBC's Top FinTech recognition for the second consecutive year [5]. Singapore and Hong Kong contribute 70%+ of new clients, demonstrating successful geographic diversification away from China risk.</w:t>
      </w:r>
    </w:p>
    <w:p>
      <w:pPr>
        <w:spacing w:after="120"/>
      </w:pPr>
      <w:r>
        <w:rPr>
          <w:rFonts w:ascii="Calibri" w:hAnsi="Calibri"/>
          <w:b w:val="0"/>
          <w:color w:val="3A4A28"/>
          <w:sz w:val="20"/>
        </w:rPr>
        <w:t>The bear case centers on regulatory credibility damage and structural governance risks that explain the deep valuation discount. The CSRC fined UP Fintech $60M for conducting unlicensed cross-border securities business in mainland China — activities regulators had flagged since 2016 — sending shares down 28% in a single session [4]. Q1 2026 swung to a $26.9M net loss from $30.4M profit a year earlier, demonstrating how regulatory risk can instantly reverse profitability [3]. The People's Daily has described cross-border online brokerages as 'illegal financial activities,' and further regulatory action from Chinese, Singaporean, or Hong Kong authorities remains possible [4]. The VIE corporate structure, ADR listing, and minimal ESG transparency create governance risks that keep institutional investors away. Revenue concentration among Chinese-speaking investors means U.S.-China geopolitical tensions directly threaten the customer base. TTM profit margin of 18.4% is compressed from FY2025's 31.7%, reflecting the regulatory penalty's ongoing impact on trailing metrics. The Inspire score of 0 (MIXED) provides no faith-based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revenue of $182.3M (+31.4% YoY) with return to profitability ($39.4M net income) demonstrates the business has fully absorbed the CSRC fine impact, establishing an annualized run rate of $700M+ [2]</w:t>
      </w:r>
    </w:p>
    <w:p>
      <w:pPr>
        <w:spacing w:before="40" w:after="40"/>
        <w:ind w:left="283"/>
      </w:pPr>
      <w:r>
        <w:rPr>
          <w:rFonts w:ascii="Calibri" w:hAnsi="Calibri"/>
          <w:b/>
          <w:color w:val="4A6B25"/>
          <w:sz w:val="20"/>
        </w:rPr>
        <w:t xml:space="preserve">2. </w:t>
      </w:r>
      <w:r>
        <w:rPr>
          <w:rFonts w:ascii="Calibri" w:hAnsi="Calibri"/>
          <w:b w:val="0"/>
          <w:color w:val="3A4A28"/>
          <w:sz w:val="20"/>
        </w:rPr>
        <w:t>TigerGPT/TigerAI platform — operational in 4 markets with exponential conversational volume growth — differentiating Tiger Trade from commodity brokerage competitors and driving premium user engagement [5]</w:t>
      </w:r>
    </w:p>
    <w:p>
      <w:pPr>
        <w:spacing w:before="40" w:after="40"/>
        <w:ind w:left="283"/>
      </w:pPr>
      <w:r>
        <w:rPr>
          <w:rFonts w:ascii="Calibri" w:hAnsi="Calibri"/>
          <w:b/>
          <w:color w:val="4A6B25"/>
          <w:sz w:val="20"/>
        </w:rPr>
        <w:t xml:space="preserve">3. </w:t>
      </w:r>
      <w:r>
        <w:rPr>
          <w:rFonts w:ascii="Calibri" w:hAnsi="Calibri"/>
          <w:b w:val="0"/>
          <w:color w:val="3A4A28"/>
          <w:sz w:val="20"/>
        </w:rPr>
        <w:t>Post-CSRC resolution recovery: with the $60M fine paid and compliance presumably strengthened, regulatory overhang could diminish, allowing the stock to re-rate from 7.4x forward P/E toward the 12-15x range appropriate for a 30%+ revenue growth fintech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CSRC regulatory credibility damage — the $60M fine for illegal cross-border securities activities (flagged since 2016) has permanently impaired the company's compliance reputation, and additional regulatory actions from Chinese, Singaporean, or Hong Kong authorities remain possible [4]</w:t>
      </w:r>
    </w:p>
    <w:p>
      <w:pPr>
        <w:spacing w:before="40" w:after="40"/>
        <w:ind w:left="283"/>
      </w:pPr>
      <w:r>
        <w:rPr>
          <w:rFonts w:ascii="Calibri" w:hAnsi="Calibri"/>
          <w:b/>
          <w:color w:val="4A6B25"/>
          <w:sz w:val="20"/>
        </w:rPr>
        <w:t xml:space="preserve">2. </w:t>
      </w:r>
      <w:r>
        <w:rPr>
          <w:rFonts w:ascii="Calibri" w:hAnsi="Calibri"/>
          <w:b w:val="0"/>
          <w:color w:val="3A4A28"/>
          <w:sz w:val="20"/>
        </w:rPr>
        <w:t>VIE corporate structure, ADR delisting concerns amid U.S.-China geopolitical tensions, and minimal ESG transparency create structural governance risks that prevent institutional investors from rebuilding positions despite fundamental strength [4][6]</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among Chinese-speaking investors makes the customer base directly vulnerable to U.S.-China policy shifts, capital controls, or further cross-border trading restrictions that could instantly compress client acquisition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Online brokerages face meaningful AI disruption risk. AI-powered trading tools, robo-advisors, and autonomous portfolio management platforms are proliferating, potentially disintermediating traditional brokerage relationships [5]. Competitors like Robinhood, Interactive Brokers, and emerging AI-native platforms could leverage AI to offer superior user experiences, automated research, and lower-cost trading. Tiger Brokers' competitive moat — cross-border regulatory licenses across 5+ jurisdictions, multi-market custody infrastructure, and the Chinese-speaking investor community — provides structural protection that AI alone cannot replicate, but the trading and advisory experience layers face direct AI competition. The CSRC fine for illegal cross-border activities demonstrates that regulatory compliance risk, not just AI risk, threatens the business model [4]. AI Opportunity (1/1): Tiger Brokers is actively deploying AI through TigerGPT/TigerAI (first brokerage to integrate leading AI models for real-time investment analysis, available in 4 markets) and TradingFront AI (adviser analytics), with 'exponential growth in conversational volume' — these are shipping, revenue-supporting products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UP Fintech FY2025 Annual Results — $612.1M revenue (56.3% growth), $186.5M non-GAAP net income (164.7% growth), 160K+ new funded clients, $61B client assets, SEC 6-K Filing</w:t>
      </w:r>
    </w:p>
    <w:p>
      <w:pPr>
        <w:spacing w:before="20" w:after="20"/>
        <w:ind w:left="170"/>
      </w:pPr>
      <w:r>
        <w:rPr>
          <w:rFonts w:ascii="Calibri" w:hAnsi="Calibri"/>
          <w:b/>
          <w:color w:val="4A6B25"/>
          <w:sz w:val="15"/>
        </w:rPr>
        <w:t xml:space="preserve">2. </w:t>
      </w:r>
      <w:r>
        <w:rPr>
          <w:rFonts w:ascii="Calibri" w:hAnsi="Calibri"/>
          <w:b w:val="0"/>
          <w:color w:val="3A4A28"/>
          <w:sz w:val="17"/>
        </w:rPr>
        <w:t>UP Fintech Q2 2026 Financial Results — Record revenue $182.3M (+31.4% YoY), net income $39.4M, operating income $56.8M, 32,600 new funded accounts (+12.7% QoQ), StockTitan/SEC 6-K, August 2026</w:t>
      </w:r>
    </w:p>
    <w:p>
      <w:pPr>
        <w:spacing w:before="20" w:after="20"/>
        <w:ind w:left="170"/>
      </w:pPr>
      <w:r>
        <w:rPr>
          <w:rFonts w:ascii="Calibri" w:hAnsi="Calibri"/>
          <w:b/>
          <w:color w:val="4A6B25"/>
          <w:sz w:val="15"/>
        </w:rPr>
        <w:t xml:space="preserve">3. </w:t>
      </w:r>
      <w:r>
        <w:rPr>
          <w:rFonts w:ascii="Calibri" w:hAnsi="Calibri"/>
          <w:b w:val="0"/>
          <w:color w:val="3A4A28"/>
          <w:sz w:val="17"/>
        </w:rPr>
        <w:t>UP Fintech Q1 2026 Financial Results — $154.9M revenue (+26.3% YoY), $26.9M net loss (CSRC fine impact), SEC 6-K Filing, June 2026</w:t>
      </w:r>
    </w:p>
    <w:p>
      <w:pPr>
        <w:spacing w:before="20" w:after="20"/>
        <w:ind w:left="170"/>
      </w:pPr>
      <w:r>
        <w:rPr>
          <w:rFonts w:ascii="Calibri" w:hAnsi="Calibri"/>
          <w:b/>
          <w:color w:val="4A6B25"/>
          <w:sz w:val="15"/>
        </w:rPr>
        <w:t xml:space="preserve">4. </w:t>
      </w:r>
      <w:r>
        <w:rPr>
          <w:rFonts w:ascii="Calibri" w:hAnsi="Calibri"/>
          <w:b w:val="0"/>
          <w:color w:val="3A4A28"/>
          <w:sz w:val="17"/>
        </w:rPr>
        <w:t>CSRC Investigation and Fine — RMB308.1M fine plus RMB103.1M confiscated for illegal cross-border securities activities, shares down 28%, Bloomberg/FX News Group/Caproasia, May 2026</w:t>
      </w:r>
    </w:p>
    <w:p>
      <w:pPr>
        <w:spacing w:before="20" w:after="20"/>
        <w:ind w:left="170"/>
      </w:pPr>
      <w:r>
        <w:rPr>
          <w:rFonts w:ascii="Calibri" w:hAnsi="Calibri"/>
          <w:b/>
          <w:color w:val="4A6B25"/>
          <w:sz w:val="15"/>
        </w:rPr>
        <w:t xml:space="preserve">5. </w:t>
      </w:r>
      <w:r>
        <w:rPr>
          <w:rFonts w:ascii="Calibri" w:hAnsi="Calibri"/>
          <w:b w:val="0"/>
          <w:color w:val="3A4A28"/>
          <w:sz w:val="17"/>
        </w:rPr>
        <w:t>Tiger Brokers Innovation and Recognition — TigerGPT/TigerAI launch (4 markets), TradingFront AI, CNBC World's Top FinTech 2026 (2nd consecutive year), CEO Wu Tianhua background</w:t>
      </w:r>
    </w:p>
    <w:p>
      <w:pPr>
        <w:spacing w:before="20" w:after="20"/>
        <w:ind w:left="170"/>
      </w:pPr>
      <w:r>
        <w:rPr>
          <w:rFonts w:ascii="Calibri" w:hAnsi="Calibri"/>
          <w:b/>
          <w:color w:val="4A6B25"/>
          <w:sz w:val="15"/>
        </w:rPr>
        <w:t xml:space="preserve">6. </w:t>
      </w:r>
      <w:r>
        <w:rPr>
          <w:rFonts w:ascii="Calibri" w:hAnsi="Calibri"/>
          <w:b w:val="0"/>
          <w:color w:val="3A4A28"/>
          <w:sz w:val="17"/>
        </w:rPr>
        <w:t>StockAnalysis.com, Yahoo Finance — TIGR Statistics: Forward P/E 7.42x, PEG 0.59x, ROE 14.73%, D/E 8%, Net Margin 18.4%, $4.49B Cash,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