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TIVC</w:t>
      </w:r>
      <w:r>
        <w:rPr>
          <w:rFonts w:ascii="Calibri" w:hAnsi="Calibri"/>
          <w:b/>
          <w:color w:val="1A2010"/>
          <w:sz w:val="40"/>
        </w:rPr>
        <w:t xml:space="preserve">  Valion Bio, Inc.</w:t>
      </w:r>
    </w:p>
    <w:p>
      <w:pPr>
        <w:spacing w:after="120"/>
      </w:pPr>
      <w:r>
        <w:rPr>
          <w:rFonts w:ascii="Calibri" w:hAnsi="Calibri"/>
          <w:b/>
          <w:color w:val="6E8450"/>
          <w:sz w:val="18"/>
        </w:rPr>
        <w:t>GROWTH SLEEVE · 2026-09-30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Valion Bio, Inc. (formerly Tivic Health Systems, TIVC) is a late-stage biopharmaceutical company that completed a fundamental transformation from consumer medical devices to focused biopharmaceutical development. The company's lead candidate is Entolimod, a TLR5 agonist being developed for acute radiation syndrome (a government-priority asset) and oncology-related indications including neutropenia. Valion Bio also operates a contract development and manufacturing organization (CDMO) segment through its Velocity Bioworks subsidiary. The company rebranded from Tivic Health Systems in April 2026 and has experienced rapid leadership turnover — CEO Michael Handley (appointed March 2026) was succeeded by interim CEO Dean Zikria in September 2026. Q1 2026 reported zero revenue, operating loss of $5.6M, and a going concern warning with $7.2M cash against $5M quarterly burn rate. Market cap approximately $1.65M.</w:t>
      </w:r>
    </w:p>
    <w:p>
      <w:r>
        <w:rPr>
          <w:rFonts w:ascii="Calibri" w:hAnsi="Calibri"/>
          <w:b/>
          <w:color w:val="6E8450"/>
          <w:sz w:val="18"/>
        </w:rPr>
        <w:t>https://www.valionbio.com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company executed a complete business model transformation — unwinding its consumer bioelectronic sinus treatment device (ClearUP) and pivoting to late-stage biopharmaceutical development through the acquisition of Entolimod, a government-backed TLR5 agonist for radiation syndrome [1]. This is a dramatic strategic pivot, though it has not yet generated revenue and the original consumer device business was essentially a failure rather than a strategic choice to exit. AI Deployment (0/2): No AI-powered products or services; the company is focused on biologics development with no reported AI initiatives [2]. Market Share (0/2): Pre-revenue biopharmaceutical company with no market position — Entolimod has not received FDA approval and generates no commercial revenue [1]. Product Pipeline (1/2): Entolimod is a specific, named late-stage candidate with a defined indication (acute radiation syndrome) and government backing, plus pipeline extensions into neutropenia and chronic applications with Entolasta [1]. However, no specific FDA submission timelines or launch dates with revenue visibility have been publicly disclosed. R&amp;D Intensity (0/1): The company spends essentially all resources on R&amp;D and SG&amp;A ($1.85M R&amp;D + $3.78M SG&amp;A in Q1 2026), but as a pre-revenue company with no industry peer comparison possible, this metric is not applicable.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rebrand to Valion Bio positions the company as a 'focused late-stage biopharmaceutical platform anchored by a government-priority asset' — a business description rather than a mission [1]. Former CEO Michael Handley articulated that 'organizations thrive when people are aligned, respected, and trusted' and 'extraordinary results happen when people understand the mission and feel empowered,' but his tenure lasted only six months before being replaced [2]. The company has not articulated a durable mission beyond its current drug candidate. Community Impact (0/2): No evidence of charitable giving, community investment, or community programs — the company is in survival mode with a going concern warning [1]. Employee Retention (0/2): Three CEO changes within 2026 alone (Jennifer Ernst to Michael Handley in March, Handley to interim CEO Dean Zikria in September) indicates profound leadership instability [2]. No employee retention or satisfaction data is available. Insider Buying (0/2): No evidence of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With a stock price of approximately $0.53 and market capitalization of just $1.65M, average daily dollar volume is overwhelmingly likely below the $1,000,000 threshold, resulting in an automatic Infrastructure score of 0 [3]. Even without the liquidity floor, all financial metrics are deeply distressed: the company generates zero revenue (Q1 2026), reported a $5.6M quarterly operating loss, has only $7.2M cash against a $5M quarterly burn rate (approximately 1.4 quarters of runway), and has issued a formal going concern warning [1]. The yfinance data system could not retrieve the ticker, consistent with the April 2026 ticker change from TIVC to VBIO. No meaningful financial infrastructure exists for scoring.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Valion Bio operates in deep survival mode — three CEO changes in 2026, a going concern warning, zero revenue, and approximately 1.4 quarters of cash runway leave no room for infinite-game thinking. The complete pivot from consumer medical devices to biopharmaceutical shows some existential flexibility, but it was driven by the failure of the original business rather than a Just Cause. Sinek would view this as a company fighting to survive this quarter, not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a treatment for acute radiation syndrome is a genuinely important healthcare purpose with government-priority backing [1]. However, the company arrived at this cause through the failure of its original consumer device business rather than through purposeful strategic vision. Three CEO changes in six months suggest the cause has not been internalized by leadership. A company in survival mode with a going concern warning cannot credibly claim to be pursuing a Just Cause — it is pursuing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transitions in 2026 alone — from founding CEO Jennifer Ernst to Michael Handley (March 2026) to interim CEO Dean Zikria (September 2026) — represents extreme leadership instability that makes organizational trust effectively impossible [2]. Employees cannot build trust with leaders who change every few months. Combined with the going concern warning and survival-mode operations, the organizational environment is one of uncertainty and insecurity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infinite competitive mindset. The company is too small and too focused on survival to have a meaningful competitive posture. No management commentary was found referencing competitors or competitive dynamics in the radiation countermeasure space.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completely reinvented itself — abandoning the consumer bioelectronic device business (ClearUP sinus treatment) and transforming into a late-stage biopharmaceutical company through the Entolimod acquisition [1]. This is a genuine existential pivot. However, the transformation was driven by the failure of the original business model rather than by a Just Cause or proactive strategic vision, which is desperation-driven flexibility rather than Sinek's ideal of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decision-making. The pivot from consumer devices to biopharma was a survival decision necessitated by the failure of the original business, not a courageous strategic bet [1]. Three CEO changes in 2026 suggest leadership cannot commit to a direction, and the going concern warning indicates no runway for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Valion Bio offers an extreme-risk speculative case centered on a single government-backed asset — Entolimod, a TLR5 agonist in late-stage development for acute radiation syndrome, is a legitimate medical countermeasure with potential government procurement value [1]. The CDMO subsidiary (Velocity Bioworks) provides a potential revenue stream and manufacturing capability. The stock trades at a nano-cap valuation of $1.65M, meaning any positive clinical or regulatory development could generate outsized returns from a minimal base. The Inspire Impact Score of 32 (ALIGNED) is a minor positive for faith-based investors.</w:t>
      </w:r>
    </w:p>
    <w:p>
      <w:pPr>
        <w:spacing w:after="120"/>
      </w:pPr>
      <w:r>
        <w:rPr>
          <w:rFonts w:ascii="Calibri" w:hAnsi="Calibri"/>
          <w:b w:val="0"/>
          <w:color w:val="3A4A28"/>
          <w:sz w:val="20"/>
        </w:rPr>
        <w:t>The bear case is overwhelming: zero revenue in Q1 2026, a $5.6M quarterly operating loss, only $7.2M cash with $5M quarterly burn rate creating approximately 1.4 quarters of runway, and a formal going concern warning from auditors [1]. The company has changed CEOs three times in 2026, indicating profound strategic and organizational instability [2]. Market capitalization of $1.65M reflects near-total destruction of shareholder value since the IPO. The Entolimod asset, while potentially valuable, requires significant additional clinical development and regulatory work that the company lacks the resources to fund without dilutive capital raises — and raising capital at $0.53 per share would result in catastrophic dilution to existing shareholders. The yfinance system could not retrieve the ticker, and the April 2026 ticker change adds operational confusion. This is a speculative nano-cap with binary outcome risk — either Entolimod reaches approval/procurement or the company runs out of cash.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Any positive clinical data or FDA interaction for Entolimod in acute radiation syndrome could catalyze a re-rating from the current $1.65M market cap, given the government-priority nature of radiation countermeasures [1]</w:t>
      </w:r>
    </w:p>
    <w:p>
      <w:pPr>
        <w:spacing w:before="40" w:after="40"/>
        <w:ind w:left="283"/>
      </w:pPr>
      <w:r>
        <w:rPr>
          <w:rFonts w:ascii="Calibri" w:hAnsi="Calibri"/>
          <w:b/>
          <w:color w:val="4A6B25"/>
          <w:sz w:val="20"/>
        </w:rPr>
        <w:t xml:space="preserve">2. </w:t>
      </w:r>
      <w:r>
        <w:rPr>
          <w:rFonts w:ascii="Calibri" w:hAnsi="Calibri"/>
          <w:b w:val="0"/>
          <w:color w:val="3A4A28"/>
          <w:sz w:val="20"/>
        </w:rPr>
        <w:t>CDMO segment through Velocity Bioworks subsidiary could generate near-term revenue from contract manufacturing services, partially offsetting the burn rate</w:t>
      </w:r>
    </w:p>
    <w:p>
      <w:pPr>
        <w:spacing w:before="40" w:after="40"/>
        <w:ind w:left="283"/>
      </w:pPr>
      <w:r>
        <w:rPr>
          <w:rFonts w:ascii="Calibri" w:hAnsi="Calibri"/>
          <w:b/>
          <w:color w:val="4A6B25"/>
          <w:sz w:val="20"/>
        </w:rPr>
        <w:t xml:space="preserve">3. </w:t>
      </w:r>
      <w:r>
        <w:rPr>
          <w:rFonts w:ascii="Calibri" w:hAnsi="Calibri"/>
          <w:b w:val="0"/>
          <w:color w:val="3A4A28"/>
          <w:sz w:val="20"/>
        </w:rPr>
        <w:t>Government procurement interest in radiation countermeasures following geopolitical tensions could accelerate development funding or partnership discussions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with only $7.2M cash and $5M quarterly burn rate — approximately 1.4 quarters of runway before cash exhaustion, requiring imminent dilutive capital raise at deeply depressed share price [1]</w:t>
      </w:r>
    </w:p>
    <w:p>
      <w:pPr>
        <w:spacing w:before="40" w:after="40"/>
        <w:ind w:left="283"/>
      </w:pPr>
      <w:r>
        <w:rPr>
          <w:rFonts w:ascii="Calibri" w:hAnsi="Calibri"/>
          <w:b/>
          <w:color w:val="4A6B25"/>
          <w:sz w:val="20"/>
        </w:rPr>
        <w:t xml:space="preserve">2. </w:t>
      </w:r>
      <w:r>
        <w:rPr>
          <w:rFonts w:ascii="Calibri" w:hAnsi="Calibri"/>
          <w:b w:val="0"/>
          <w:color w:val="3A4A28"/>
          <w:sz w:val="20"/>
        </w:rPr>
        <w:t>Three CEO changes in 2026 (Ernst to Handley to Zikria) indicate organizational chaos that makes coherent strategy execution nearly impossible — no leader has had time to establish direction [2]</w:t>
      </w:r>
    </w:p>
    <w:p>
      <w:pPr>
        <w:spacing w:before="40" w:after="40"/>
        <w:ind w:left="283"/>
      </w:pPr>
      <w:r>
        <w:rPr>
          <w:rFonts w:ascii="Calibri" w:hAnsi="Calibri"/>
          <w:b/>
          <w:color w:val="4A6B25"/>
          <w:sz w:val="20"/>
        </w:rPr>
        <w:t xml:space="preserve">3. </w:t>
      </w:r>
      <w:r>
        <w:rPr>
          <w:rFonts w:ascii="Calibri" w:hAnsi="Calibri"/>
          <w:b w:val="0"/>
          <w:color w:val="3A4A28"/>
          <w:sz w:val="20"/>
        </w:rPr>
        <w:t>Single-asset biopharmaceutical risk: Entolimod failure, regulatory delay, or loss of government interest would eliminate the company's primary value proposition with no fallback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Valion Bio's core business — developing a biologics drug (Entolimod, TLR5 agonist) for acute radiation syndrome through clinical trials and regulatory approval — is structurally protected from AI disruption [1]. Drug development for radiation countermeasures requires physical clinical trials, FDA regulatory processes, and biological manufacturing capabilities that AI cannot replace. The government-backed nature of the radiation syndrome indication adds regulatory and procurement moats. AI may accelerate drug discovery timelines generally but cannot substitute for the physical development, manufacturing, and clinical validation required for biologics approval. However, AI could help competing drug developers accelerate their own programs. AI Opportunity (0/1): No AI-powered products or revenue streams; the company is a pre-revenue biopharmaceutical focused on traditional biologics development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Valion Bio Q1 2026 Financial Results — Zero Revenue, Operating Loss $5.6M, Going Concern Warning, $7.2M Cash, Rebrand from Tivic Health April 2026 — SEC 10-Q,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Valion Bio Leadership Changes — CEO Michael Handley (March 2026), Interim CEO Dean Zikria (September 2026), Former CEO Jennifer Ernst — TipRanks, LinkedIn, PRNewswire,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Yahoo Finance — TIVC/VBIO Key Statistics: Market Cap $1.65M, Stock Price ~$0.53,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