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TMC</w:t>
      </w:r>
      <w:r>
        <w:rPr>
          <w:rFonts w:ascii="Calibri" w:hAnsi="Calibri"/>
          <w:b/>
          <w:color w:val="1A2010"/>
          <w:sz w:val="40"/>
        </w:rPr>
        <w:t xml:space="preserve">  TMC the metals company Inc.</w:t>
      </w:r>
    </w:p>
    <w:p>
      <w:pPr>
        <w:spacing w:after="120"/>
      </w:pPr>
      <w:r>
        <w:rPr>
          <w:rFonts w:ascii="Calibri" w:hAnsi="Calibri"/>
          <w:b/>
          <w:color w:val="6E8450"/>
          <w:sz w:val="18"/>
        </w:rPr>
        <w:t>GROWTH SLEEVE · 2026-10-17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NMS · Canada</w:t>
      </w:r>
    </w:p>
    <w:p>
      <w:pPr>
        <w:spacing w:after="80"/>
      </w:pPr>
      <w:r>
        <w:rPr>
          <w:rFonts w:ascii="Calibri" w:hAnsi="Calibri"/>
          <w:b w:val="0"/>
          <w:color w:val="3A4A28"/>
          <w:sz w:val="20"/>
        </w:rPr>
        <w:t>TMC the metals company Inc. is a pre-revenue deep-sea minerals exploration company focused on collecting, processing, and refining polymetallic nodules containing nickel, cobalt, copper, and manganese from the Clarion Clipperton Zone of the Pacific Ocean. The company holds exploration and commercial rights in two contract areas and has signed a commercial nodule collection contract with Allseas targeting 3M wet tonnes per annum with commissioning in Q4 2027, subject to NOAA regulatory approval [1][2]. As of Q1 2026, TMC held $119.7M in cash with zero debt and reported a net loss of $20.6M.</w:t>
      </w:r>
    </w:p>
    <w:p>
      <w:r>
        <w:rPr>
          <w:rFonts w:ascii="Calibri" w:hAnsi="Calibri"/>
          <w:b/>
          <w:color w:val="6E8450"/>
          <w:sz w:val="18"/>
        </w:rPr>
        <w:t>48 Employees · https://metals.co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TMC achieved a key regulatory milestone when NOAA determined its consolidated application is in full compliance with the Deep Seabed Hard Mineral Resources Act, and CEO Barron testified before Congress advocating for deep-sea mineral access [1][2]. However, the company remains pre-revenue with zero commercial production after 15 years of development — milestones are regulatory, not operational. AI Deployment (0/2): No AI-powered products or AI-driven operational efficiencies are evident; TMC's 48-person team is focused on regulatory and engineering development rather than AI deployment. Market Share (1/2): TMC is the closest-to-commercial entrant in deep-sea polymetallic nodule mining, with two contract areas in the Clarion Clipperton Zone and the most advanced regulatory application, positioning it as a first-mover in an industry that does not yet exist [1]. Product Pipeline (1/2): The Allseas commercial nodule collection contract targets 3M wet tonnes per annum with commissioning in Q4 2027, providing a specific timeline, though the permit has not been issued and commercialization is subject to regulatory approval that faces active legal challenges [1][3]. R&amp;D Intensity (0/1): TMC's spending is primarily exploration and development, not formal R&amp;D; with 48 employees and no revenue, R&amp;D intensity as a percentage of revenue is not meaningful.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TMC presents its purpose as enabling the clean energy transition by supplying battery metals (Ni, Co, Cu, Mn) from deep-sea nodules with lower environmental impact than land mining. The framing is specific but CEO Barron's dismissal of environmental concerns as 'virtue signaling' and characterization of deep-sea mining as merely 'picking up rocks' undermines the mission's credibility and reveals commercially driven rather than genuinely purpose-driven leadership [3][4]. Community Impact (0/2): TMC faces significant opposition from conservation groups — the Center for Biological Diversity filed suit in September 2026 challenging NOAA's certification process, Greenpeace Canada published a report alleging legal conflicts with international law, and scientists have raised concerns about uncharacterized impacts on deep-sea ecosystems [3][5]. Employee Retention (0/2): With only 48 employees, no meaningful retention or culture data exists to evaluate. Insider Buying (1/2): CEO Barron invested his personal wealth (reportedly $31M from a prior venture payout) into building TMC, demonstrating meaningful founder conviction in the company's long-term thesis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extremely limited available metrics. TMC is pre-revenue with zero debt, giving D/E of 0% (score 1.0). ROE of -11.2% is below the 0% floor (score 0.0, 2x weight), reflecting a company burning cash with no revenue to generate returns [6]. Profit margin of 0.0% is at the floor (score 0.0). Revenue growth, 5yr CAGR, forward P/E, and forward PEG are all excluded as unavailable or meaningless for a pre-revenue, loss-making entity — forward PE of -10.75 reflects expected continued losses rather than undervaluation. With only 3 metrics scorable (D/E, ROE, profit margin), the calculation yields weighted sum of 1.0 out of max 4 weight units. Daily dollar volume of $14.4M passes the liquidity floor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TMC operates with a decidedly finite-game mindset despite positioning itself around the energy transition narrative. CEO Barron's dismissal of environmental critics as engaging in 'virtue signaling,' aggressive pursuit of Trump administration political support to bypass international frameworks, and combative stance toward legitimate scientific concerns about deep-sea ecosystem impacts reveal a company playing to win regulatory approval rather than building enduring trust with stakeholders. The 48-person team is too small and the company too early-stage to assess organizational culture.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TMC articulates a cause — enabling the clean energy transition through lower-impact mineral sourcing — that connects to a genuine societal need for battery metals. However, CEO Barron's public dismissal of environmental concerns as 'virtue signaling' and 'picking up rocks' fundamentally contradicts the claim of environmental responsibility [3][4]. The cause reads as marketing positioning to attract investor capital and political support rather than a genuine vision that shapes strategic decisions and stakeholder relationships.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48 employees and no publicly available data on organizational culture, turnover, or employee sentiment, there is insufficient evidence to assess trust levels. The company's combative public posture toward critics and reliance on political connections rather than stakeholder consensus do not suggest a high-trust organizational philosophy.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TMC's competitive and regulatory language is combative — CEO Barron characterizes environmental critics and moratorium supporters as engaging in 'virtue signaling' rather than acknowledging legitimate scientific uncertainty about deep-sea ecosystem impacts [3][4]. This stance treats opposition as an obstacle to overcome rather than a source of learning, reflecting a 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TMC has pursued a single strategy — deep-sea polymetallic nodule mining in the Clarion Clipperton Zone — since its founding as DeepGreen Metals. The company has not demonstrated willingness or ability to pivot, and its entire thesis depends on a single regulatory and technological pathway. If permits are denied or technology fails at commercial scale, there is no evident Plan B.</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Barron invested his personal wealth into TMC and has pursued deep-sea mining for years despite enormous opposition from environmental groups, regulatory uncertainty, and near-constant cash burn [4]. Building a pre-revenue company around an unproven technology in a contested regulatory environment requires genuine conviction. However, courage in Sinek's framework means choosing right over easy — Barron's strategy of leveraging political connections and dismissing scientific concerns prioritizes expedience over principled stakeholder engagement.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TMC at $2.58 with a $1.14B market cap is a high-risk, high-reward bet on commercializing deep-sea polymetallic nodule mining. The company holds exploration and commercial rights in two Clarion Clipperton Zone contract areas containing an estimated 1.6B tonnes of polymetallic nodules rich in nickel, cobalt, copper, and manganese — battery metals critical for the EV transition [1]. The May 2026 Allseas contract for a 3M wet tonne commercial collection system targeting Q4 2027 commissioning, combined with NOAA's full compliance determination, represent the most advanced milestones in deep-sea mining history. With $119.7M cash, zero debt, and only 48 employees, the company carries minimal fixed obligations while maintaining significant option value on a massive resource base. CEO Barron's Congressional testimony and the Trump administration's executive order supporting deep-sea mining provide political tailwinds [2][4].</w:t>
      </w:r>
    </w:p>
    <w:p>
      <w:pPr>
        <w:spacing w:after="120"/>
      </w:pPr>
      <w:r>
        <w:rPr>
          <w:rFonts w:ascii="Calibri" w:hAnsi="Calibri"/>
          <w:b w:val="0"/>
          <w:color w:val="3A4A28"/>
          <w:sz w:val="20"/>
        </w:rPr>
        <w:t>The bear case is existential. TMC has generated zero revenue in 15 years, is burning $44M annually in operating cash flow, and the forward EPS of -$0.24 confirms continued losses through commercialization [6]. The NOAA commercial recovery permit has not been issued and faces active legal challenges from the Center for Biological Diversity and Greenpeace, which could delay or block operations indefinitely [3][5]. The Allseas commercial system must prove technically viable at 4,000+ meter depths — no company has ever achieved this at commercial scale. The International Seabed Authority has not finalized mining regulations, creating jurisdictional uncertainty. Scientists estimate 20-30% of deep-sea life depends on the nodules TMC plans to remove, and sediment plumes from collection operations have uncharacterized ecological impacts [5]. Any change in U.S. administration policy could reverse current political support. With a $1.14B market cap built entirely on option value, the stock is a binary outcome — either deep-sea mining commercializes or the company's value approaches zero.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NOAA commercial recovery permit issuance would de-risk the single largest regulatory hurdle and enable Allseas to begin commercial collection system commissioning targeting Q4 2027 production [1][2]</w:t>
      </w:r>
    </w:p>
    <w:p>
      <w:pPr>
        <w:spacing w:before="40" w:after="40"/>
        <w:ind w:left="283"/>
      </w:pPr>
      <w:r>
        <w:rPr>
          <w:rFonts w:ascii="Calibri" w:hAnsi="Calibri"/>
          <w:b/>
          <w:color w:val="4A6B25"/>
          <w:sz w:val="20"/>
        </w:rPr>
        <w:t xml:space="preserve">2. </w:t>
      </w:r>
      <w:r>
        <w:rPr>
          <w:rFonts w:ascii="Calibri" w:hAnsi="Calibri"/>
          <w:b w:val="0"/>
          <w:color w:val="3A4A28"/>
          <w:sz w:val="20"/>
        </w:rPr>
        <w:t>Allseas commercial nodule collection system deployment at 3M wet tonne nameplate capacity would make TMC the first company to achieve commercial-scale deep-sea mining, validating a novel resource category [1]</w:t>
      </w:r>
    </w:p>
    <w:p>
      <w:pPr>
        <w:spacing w:before="40" w:after="40"/>
        <w:ind w:left="283"/>
      </w:pPr>
      <w:r>
        <w:rPr>
          <w:rFonts w:ascii="Calibri" w:hAnsi="Calibri"/>
          <w:b/>
          <w:color w:val="4A6B25"/>
          <w:sz w:val="20"/>
        </w:rPr>
        <w:t xml:space="preserve">3. </w:t>
      </w:r>
      <w:r>
        <w:rPr>
          <w:rFonts w:ascii="Calibri" w:hAnsi="Calibri"/>
          <w:b w:val="0"/>
          <w:color w:val="3A4A28"/>
          <w:sz w:val="20"/>
        </w:rPr>
        <w:t>Rising battery metal prices driven by EV demand growth and AI data center electrification could increase the economic value of TMC's estimated 1.6B tonne nodule resource base containing nickel, cobalt, copper, and manganese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NOAA permit denial or indefinite delay from active legal challenges (Center for Biological Diversity lawsuit filed September 2026) would effectively strand the company's entire development plan with no alternative regulatory pathway [3][5]</w:t>
      </w:r>
    </w:p>
    <w:p>
      <w:pPr>
        <w:spacing w:before="40" w:after="40"/>
        <w:ind w:left="283"/>
      </w:pPr>
      <w:r>
        <w:rPr>
          <w:rFonts w:ascii="Calibri" w:hAnsi="Calibri"/>
          <w:b/>
          <w:color w:val="4A6B25"/>
          <w:sz w:val="20"/>
        </w:rPr>
        <w:t xml:space="preserve">2. </w:t>
      </w:r>
      <w:r>
        <w:rPr>
          <w:rFonts w:ascii="Calibri" w:hAnsi="Calibri"/>
          <w:b w:val="0"/>
          <w:color w:val="3A4A28"/>
          <w:sz w:val="20"/>
        </w:rPr>
        <w:t>Technical failure at commercial scale — no entity has successfully collected and processed polymetallic nodules at 4,000+ meter depths commercially; Allseas system commissioning in Q4 2027 is the first real test of viability [1]</w:t>
      </w:r>
    </w:p>
    <w:p>
      <w:pPr>
        <w:spacing w:before="40" w:after="40"/>
        <w:ind w:left="283"/>
      </w:pPr>
      <w:r>
        <w:rPr>
          <w:rFonts w:ascii="Calibri" w:hAnsi="Calibri"/>
          <w:b/>
          <w:color w:val="4A6B25"/>
          <w:sz w:val="20"/>
        </w:rPr>
        <w:t xml:space="preserve">3. </w:t>
      </w:r>
      <w:r>
        <w:rPr>
          <w:rFonts w:ascii="Calibri" w:hAnsi="Calibri"/>
          <w:b w:val="0"/>
          <w:color w:val="3A4A28"/>
          <w:sz w:val="20"/>
        </w:rPr>
        <w:t>Cash runway risk with $119.7M in cash against $44M annual burn rate gives approximately 2.5 years of operating runway, and analysts note the company will need additional financing to reach commercialization, likely diluting current shareholders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Deep-sea mining of polymetallic nodules is a physical-world operation that AI structurally cannot displace — collecting, lifting, and processing mineral nodules from 4,000+ meter ocean depths requires ships, risers, and processing infrastructure regardless of AI advances [1]. The battery metals TMC targets (nickel, cobalt, copper, manganese) are essential inputs for EV batteries, energy storage, and increasingly AI data center infrastructure, making the company a potential net beneficiary of AI-driven demand for electrification and critical minerals. Regulatory barriers (NOAA permitting, ISA jurisdiction) create additional structural protection. AI Opportunity (0/1): TMC generates no revenue from AI products or services; any AI-related demand benefit flows indirectly through commodity pricing for battery metals.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TMC Q1 2026 Earnings and NOAA Compliance Determination — SEC 8-K Filing, Allseas Commercial Contract, 3M Wet Tonne Collection System — May 2026</w:t>
      </w:r>
    </w:p>
    <w:p>
      <w:pPr>
        <w:spacing w:before="20" w:after="20"/>
        <w:ind w:left="170"/>
      </w:pPr>
      <w:r>
        <w:rPr>
          <w:rFonts w:ascii="Calibri" w:hAnsi="Calibri"/>
          <w:b/>
          <w:color w:val="4A6B25"/>
          <w:sz w:val="15"/>
        </w:rPr>
        <w:t xml:space="preserve">2. </w:t>
      </w:r>
      <w:r>
        <w:rPr>
          <w:rFonts w:ascii="Calibri" w:hAnsi="Calibri"/>
          <w:b w:val="0"/>
          <w:color w:val="3A4A28"/>
          <w:sz w:val="17"/>
        </w:rPr>
        <w:t>TMC CEO Gerard Barron Congressional Testimony, Trump Executive Order on Deep-Sea Mining, U.S. Permitting Strategy — NPR, OPB, June-July 2025</w:t>
      </w:r>
    </w:p>
    <w:p>
      <w:pPr>
        <w:spacing w:before="20" w:after="20"/>
        <w:ind w:left="170"/>
      </w:pPr>
      <w:r>
        <w:rPr>
          <w:rFonts w:ascii="Calibri" w:hAnsi="Calibri"/>
          <w:b/>
          <w:color w:val="4A6B25"/>
          <w:sz w:val="15"/>
        </w:rPr>
        <w:t xml:space="preserve">3. </w:t>
      </w:r>
      <w:r>
        <w:rPr>
          <w:rFonts w:ascii="Calibri" w:hAnsi="Calibri"/>
          <w:b w:val="0"/>
          <w:color w:val="3A4A28"/>
          <w:sz w:val="17"/>
        </w:rPr>
        <w:t>Center for Biological Diversity Lawsuit Challenging NOAA Deep-Sea Mining Exploration Permit — Press Release, September 30, 2026</w:t>
      </w:r>
    </w:p>
    <w:p>
      <w:pPr>
        <w:spacing w:before="20" w:after="20"/>
        <w:ind w:left="170"/>
      </w:pPr>
      <w:r>
        <w:rPr>
          <w:rFonts w:ascii="Calibri" w:hAnsi="Calibri"/>
          <w:b/>
          <w:color w:val="4A6B25"/>
          <w:sz w:val="15"/>
        </w:rPr>
        <w:t xml:space="preserve">4. </w:t>
      </w:r>
      <w:r>
        <w:rPr>
          <w:rFonts w:ascii="Calibri" w:hAnsi="Calibri"/>
          <w:b w:val="0"/>
          <w:color w:val="3A4A28"/>
          <w:sz w:val="17"/>
        </w:rPr>
        <w:t>Gerard Barron 'Picking Up Rocks' Comments, Environmental Critics — Oceanographic Magazine, Greenpeace USA, September 2026</w:t>
      </w:r>
    </w:p>
    <w:p>
      <w:pPr>
        <w:spacing w:before="20" w:after="20"/>
        <w:ind w:left="170"/>
      </w:pPr>
      <w:r>
        <w:rPr>
          <w:rFonts w:ascii="Calibri" w:hAnsi="Calibri"/>
          <w:b/>
          <w:color w:val="4A6B25"/>
          <w:sz w:val="15"/>
        </w:rPr>
        <w:t xml:space="preserve">5. </w:t>
      </w:r>
      <w:r>
        <w:rPr>
          <w:rFonts w:ascii="Calibri" w:hAnsi="Calibri"/>
          <w:b w:val="0"/>
          <w:color w:val="3A4A28"/>
          <w:sz w:val="17"/>
        </w:rPr>
        <w:t>Greenpeace Canada Report on TMC Legal Quagmire, Deep-Sea Ecosystem Concerns, ISA Regulatory Framework — Greenpeace, NPR,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TMC Key Statistics, Cash Position, Forward Estimates,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