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TMDE</w:t>
      </w:r>
      <w:r>
        <w:rPr>
          <w:rFonts w:ascii="Calibri" w:hAnsi="Calibri"/>
          <w:b/>
          <w:color w:val="1A2010"/>
          <w:sz w:val="40"/>
        </w:rPr>
        <w:t xml:space="preserve">  TMD Energy Limited</w:t>
      </w:r>
    </w:p>
    <w:p>
      <w:pPr>
        <w:spacing w:after="120"/>
      </w:pPr>
      <w:r>
        <w:rPr>
          <w:rFonts w:ascii="Calibri" w:hAnsi="Calibri"/>
          <w:b/>
          <w:color w:val="6E8450"/>
          <w:sz w:val="18"/>
        </w:rPr>
        <w:t>GROWTH SLEEVE · 2026-10-17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ASE · Malaysia</w:t>
      </w:r>
    </w:p>
    <w:p>
      <w:pPr>
        <w:spacing w:after="80"/>
      </w:pPr>
      <w:r>
        <w:rPr>
          <w:rFonts w:ascii="Calibri" w:hAnsi="Calibri"/>
          <w:b w:val="0"/>
          <w:color w:val="3A4A28"/>
          <w:sz w:val="20"/>
        </w:rPr>
        <w:t>TMD Energy Limited is a Malaysia and Singapore-based marine fuel bunkering services provider operating a fleet of 15 bunkering vessels across 19 Malaysian ports. The company supplies marine gas and fuel oil (HSFO, LSFO, VLSFO) to ships and vessels, and also provides vessel chartering, ship management, and cargo oil services. For the six months ended December 2025, revenue fell 22.5% to $247.6M with a net loss of $8.5M, driven by declining marine fuel demand and a 16% drop in global oil prices [1]. Market cap stands at approximately $13M.</w:t>
      </w:r>
    </w:p>
    <w:p>
      <w:r>
        <w:rPr>
          <w:rFonts w:ascii="Calibri" w:hAnsi="Calibri"/>
          <w:b/>
          <w:color w:val="6E8450"/>
          <w:sz w:val="18"/>
        </w:rPr>
        <w:t>66 Employees · https://www.tmdel.com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TMD Energy expanded beyond traditional bunkering into oil waste collection and signed a bioenergy collaboration agreement with Double Corporate to convert sludge oil and used cooking oil into biodiesel, representing a modest adjacent-market extension [2][3]. The core bunkering business remains operationally unchanged from prior years. AI Deployment (0/2): No AI deployment or AI-driven operational efficiencies are evident; the company operates a conventional marine fuel logistics business without technology differentiation. Market Share (0/2): TMD Energy is a small regional bunkering player operating 15 vessels across 19 Malaysian ports — not a category leader in the highly fragmented global marine fuel supply market. Product Pipeline (0/2): The bioenergy partnership with Double Corporate and waste oil collection initiative are early stage with no disclosed revenue timelines or production targets. R&amp;D Intensity (0/1): No formal R&amp;D spending; the company's operations are service-based with no technology development component.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Dato' Sri Kam Choy Ho references 'long-term environmental stewardship' in public communications, but this is generic corporate language without a distinctive or differentiated purpose that would distinguish TMD Energy from any other bunkering operator [2]. Community Impact (0/2): The waste oil collection ESG initiative is too early-stage to demonstrate meaningful community or environmental impact — no quantified results, programs, or community investments have been disclosed. Employee Retention (0/2): With only 66 employees, no publicly available retention, tenure, or culture data exists. Insider Buying (0/2): No evidence of insider buying activity was found in public filings or financial databases.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143,329 shares x $0.57 stock price = $81,698 daily dollar volume, well below the $1,000,000 minimum threshold. Infrastructure score is automatically set to 0 regardless of other metrics [4]. For reference, underlying fundamentals are also distressed: D/E of 421% far exceeds the 300% floor, profit margin is -1.6%, revenue declined 10.7% YoY with 22.5% decline in the most recent half, and the company reported a net loss of $8.5M on $247.6M revenue in H1 FY2026 [1][4]. Total debt of $80.6M against $16.1M cash and negative operating cash flow of -$40.5M compound the financial weakness. Even without the liquidity floor, the underlying infrastructure score would be approximately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TMD Energy operates with a finite-game orientation typical of small commodity logistics operators — focused on vessel utilization, fuel margins, and operational survival rather than advancing any discernible long-term cause. The company's recent revenue declines, mounting losses, and micro-cap status ($13M market cap) suggest a business fighting for near-term survival rather than playing to keep playing across market cycles.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TMD Energy does not articulate a Just Cause. Public communications reference 'environmental stewardship' generically but the company exists to supply marine fuel for profit — there is no vision of a better future or purpose beyond operational execution [2]. For a 66-person bunkering company with $13M market cap, this is not unexpected, but it precludes any Infinite Game scoring.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66 employees and no publicly available data on organizational culture, employee sentiment, turnover, or leadership practices, there is insufficient evidence to assess trust levels. The company's small size and recent financial deterioration (net loss of $8.5M in H1 FY2026) create potential organizational stress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framing in TMD Energy's public communications. The company operates in a fragmented bunkering market without articulating how competitors' strengths inform its own strategy.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TMD Energy remains a pure-play marine fuel bunkering company. The waste oil collection and bioenergy partnership represent marginal adjacent-market exploration rather than genuine business model adaptation [3]. The company has not demonstrated willingness or ability to transform its core operations in response to the marine energy transition.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The company's IPO on NYSE American and bioenergy partnership are standard corporate development activities, not examples of sacrificing near-term performance for long-term capability. Recent financial deterioration suggests reactive management rather than proactive strategic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TMD Energy at $0.57 with a $13M market cap is an extremely small marine fuel bunkering company operating 15 vessels across 19 Malaysian ports. The company generated $552.7M in TTM revenue, implying a price-to-sales ratio of approximately 0.024x — seemingly cheap but reflecting the market's assessment of the business's viability. The bioenergy partnership with Double Corporate and waste oil collection initiative signal early-stage diversification into adjacent green energy markets [2][3]. CEO Dato' Sri Kam Choy Ho brings operational experience in Southeast Asian maritime services, and the company's fleet of 15 bunkering vessels represents tangible asset value.</w:t>
      </w:r>
    </w:p>
    <w:p>
      <w:pPr>
        <w:spacing w:after="120"/>
      </w:pPr>
      <w:r>
        <w:rPr>
          <w:rFonts w:ascii="Calibri" w:hAnsi="Calibri"/>
          <w:b w:val="0"/>
          <w:color w:val="3A4A28"/>
          <w:sz w:val="20"/>
        </w:rPr>
        <w:t>The bear case is overwhelming. TMD Energy fails the IOWN liquidity floor with just $82K in daily dollar volume, making the stock essentially untradeable for any institutional strategy [4]. Revenue declined 22.5% in H1 FY2026 to $247.6M with a net loss of $8.5M and gross margins collapsing to 0.3%, driven by declining marine fuel demand and a 16% oil price drop [1]. D/E of 421% with $80.6M debt against $16.1M cash creates severe financial distress risk, compounded by -$40.5M negative operating cash flow. The company operates in a low-margin, commoditized bunkering market with no competitive moat, technology differentiation, or pricing power. The marine energy transition toward LNG, ammonia, and methanol as alternative fuels represents a long-term structural threat to traditional bunker fuel demand. With 66 employees, no analyst coverage, and a micro-cap market capitalization, TMD Energy lacks the scale, liquidity, and financial strength required for IOWN portfolio inclusion.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Bioenergy collaboration with Double Corporate could diversify revenue beyond traditional bunkering if waste oil-to-biodiesel conversion reaches commercial scale, though no timeline or production targets have been disclosed [3]</w:t>
      </w:r>
    </w:p>
    <w:p>
      <w:pPr>
        <w:spacing w:before="40" w:after="40"/>
        <w:ind w:left="283"/>
      </w:pPr>
      <w:r>
        <w:rPr>
          <w:rFonts w:ascii="Calibri" w:hAnsi="Calibri"/>
          <w:b/>
          <w:color w:val="4A6B25"/>
          <w:sz w:val="20"/>
        </w:rPr>
        <w:t xml:space="preserve">2. </w:t>
      </w:r>
      <w:r>
        <w:rPr>
          <w:rFonts w:ascii="Calibri" w:hAnsi="Calibri"/>
          <w:b w:val="0"/>
          <w:color w:val="3A4A28"/>
          <w:sz w:val="20"/>
        </w:rPr>
        <w:t>Global oil price recovery would directly support marine fuel margins — H1 FY2026 results were depressed by a 16% decline in average global oil prices, and any price rebound would flow through to gross profit [1]</w:t>
      </w:r>
    </w:p>
    <w:p>
      <w:pPr>
        <w:spacing w:before="40" w:after="40"/>
        <w:ind w:left="283"/>
      </w:pPr>
      <w:r>
        <w:rPr>
          <w:rFonts w:ascii="Calibri" w:hAnsi="Calibri"/>
          <w:b/>
          <w:color w:val="4A6B25"/>
          <w:sz w:val="20"/>
        </w:rPr>
        <w:t xml:space="preserve">3. </w:t>
      </w:r>
      <w:r>
        <w:rPr>
          <w:rFonts w:ascii="Calibri" w:hAnsi="Calibri"/>
          <w:b w:val="0"/>
          <w:color w:val="3A4A28"/>
          <w:sz w:val="20"/>
        </w:rPr>
        <w:t>Southeast Asian shipping trade volume recovery from current geopolitical and tariff-related slowdown could restore bunkered volumes toward the prior year's 575K metric ton level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is critically inadequate for institutional trading — $82K daily dollar volume ($0.57 x 143K shares) is 92% below the $1M IOWN minimum, creating severe execution risk for any position [4]</w:t>
      </w:r>
    </w:p>
    <w:p>
      <w:pPr>
        <w:spacing w:before="40" w:after="40"/>
        <w:ind w:left="283"/>
      </w:pPr>
      <w:r>
        <w:rPr>
          <w:rFonts w:ascii="Calibri" w:hAnsi="Calibri"/>
          <w:b/>
          <w:color w:val="4A6B25"/>
          <w:sz w:val="20"/>
        </w:rPr>
        <w:t xml:space="preserve">2. </w:t>
      </w:r>
      <w:r>
        <w:rPr>
          <w:rFonts w:ascii="Calibri" w:hAnsi="Calibri"/>
          <w:b w:val="0"/>
          <w:color w:val="3A4A28"/>
          <w:sz w:val="20"/>
        </w:rPr>
        <w:t>Financial distress indicators: D/E of 421%, negative $40.5M operating cash flow, $80.6M debt against $16.1M cash, and net loss of $8.5M in H1 FY2026 on collapsing 0.3% gross margins [1][4]</w:t>
      </w:r>
    </w:p>
    <w:p>
      <w:pPr>
        <w:spacing w:before="40" w:after="40"/>
        <w:ind w:left="283"/>
      </w:pPr>
      <w:r>
        <w:rPr>
          <w:rFonts w:ascii="Calibri" w:hAnsi="Calibri"/>
          <w:b/>
          <w:color w:val="4A6B25"/>
          <w:sz w:val="20"/>
        </w:rPr>
        <w:t xml:space="preserve">3. </w:t>
      </w:r>
      <w:r>
        <w:rPr>
          <w:rFonts w:ascii="Calibri" w:hAnsi="Calibri"/>
          <w:b w:val="0"/>
          <w:color w:val="3A4A28"/>
          <w:sz w:val="20"/>
        </w:rPr>
        <w:t>Marine energy transition risk as the International Maritime Organization's 2030 and 2050 decarbonization targets drive shipping fleet conversion to LNG, ammonia, and methanol — a structural demand threat to TMD's traditional bunker fuel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Marine fuel bunkering is a physical-world logistics service that AI cannot substitute — ships require physical fuel delivery from physical vessels at physical ports regardless of AI advances [1]. TMD Energy's 15-vessel fleet and 19-port network serve a tangible operational need in Southeast Asian shipping lanes. The broader marine energy transition (LNG, methanol, ammonia as alternative fuels) poses a longer-term demand risk to traditional bunker fuel, but this is an energy-transition threat, not AI disruption. AI could incrementally optimize fuel routing and demand forecasting for competitors but would not eliminate the bunkering service itself. AI Opportunity (0/1): TMD Energy generates no revenue from AI products or services; the company operates a conventional marine fuel logistics business without AI-enabled product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N/A</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TMD Energy H1 FY2026 Financial Results — Revenue $247.6M (-22.5% YoY), Net Loss $8.5M, Bunkered Volume 516,676 MT (-10.1%) — GlobeNewsWire, June 29, 2026</w:t>
      </w:r>
    </w:p>
    <w:p>
      <w:pPr>
        <w:spacing w:before="20" w:after="20"/>
        <w:ind w:left="170"/>
      </w:pPr>
      <w:r>
        <w:rPr>
          <w:rFonts w:ascii="Calibri" w:hAnsi="Calibri"/>
          <w:b/>
          <w:color w:val="4A6B25"/>
          <w:sz w:val="15"/>
        </w:rPr>
        <w:t xml:space="preserve">2. </w:t>
      </w:r>
      <w:r>
        <w:rPr>
          <w:rFonts w:ascii="Calibri" w:hAnsi="Calibri"/>
          <w:b w:val="0"/>
          <w:color w:val="3A4A28"/>
          <w:sz w:val="17"/>
        </w:rPr>
        <w:t>TMD Energy CEO Dato' Sri Kam Choy Ho Comments, Bioenergy Collaboration with Double Corporate — Ship&amp;Bunker, 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TMD Energy Strategic Expansion into Oil Waste Collection ESG Initiative — TipRanks/StockTitan, May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TMDE Key Statistics, Market Data, Balance Sheet,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