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TPET</w:t>
      </w:r>
      <w:r>
        <w:rPr>
          <w:rFonts w:ascii="Calibri" w:hAnsi="Calibri"/>
          <w:b/>
          <w:color w:val="1A2010"/>
          <w:sz w:val="40"/>
        </w:rPr>
        <w:t xml:space="preserve">  Trio Petroleum Corp.</w:t>
      </w:r>
    </w:p>
    <w:p>
      <w:pPr>
        <w:spacing w:after="120"/>
      </w:pPr>
      <w:r>
        <w:rPr>
          <w:rFonts w:ascii="Calibri" w:hAnsi="Calibri"/>
          <w:b/>
          <w:color w:val="6E8450"/>
          <w:sz w:val="18"/>
        </w:rPr>
        <w:t>GROWTH SLEEVE · 2026-10-03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American · United States</w:t>
      </w:r>
    </w:p>
    <w:p>
      <w:pPr>
        <w:spacing w:after="80"/>
      </w:pPr>
      <w:r>
        <w:rPr>
          <w:rFonts w:ascii="Calibri" w:hAnsi="Calibri"/>
          <w:b w:val="0"/>
          <w:color w:val="3A4A28"/>
          <w:sz w:val="20"/>
        </w:rPr>
        <w:t>Trio Petroleum is a micro-cap oil and gas exploration and production company that shifted from California assets to Canadian production through the Novacor and Capital Land acquisitions. Fiscal Q3 2026 (July 2026) revenue was $348,581 (+81.2% YoY) with a net loss of $1.97M; market cap is roughly $8.6M [1].</w:t>
      </w:r>
    </w:p>
    <w:p>
      <w:r>
        <w:rPr>
          <w:rFonts w:ascii="Calibri" w:hAnsi="Calibri"/>
          <w:b/>
          <w:color w:val="6E8450"/>
          <w:sz w:val="18"/>
        </w:rPr>
        <w:t>https://www.triopetroleum.com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Trio shifted toward producing Canadian assets via the Novacor acquisition effective April 1, 2026, a modest pivot opening a small revenue stream [1]. AI Deployment (0/2): None found. Market Share (0/2): Sub-scale E&amp;P with revenue under $0.4M a quarter. Pipeline (1/2): New Alberta wells coming online but no dated, quantified roadmap [1]. R&amp;D (0/1): None.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Generic energy-development mission, interchangeable with other small E&amp;Ps. Community (0/2): No evidence found. Retention (0/2): No data. Insider Buying (0/2): No net insider buying found; the company funded itself with $24.2M of ATM equity sales, diluting holders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Calculated as a Growth stock on available metrics (D/E, forward P/E, PEG and 5yr CAGR unavailable and excluded). ROE -29.1% (0.0, 2x), revenue growth 81.2% YoY (1.0), profit margin deeply negative (0.0). Weighted 1.0 of 4 gives 2.5, rounded to 2. Dollar volume of about $1.1M clears the $1M liquidity floor narrowly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Trio is a financially fragile micro-cap with no articulated cause beyond resource development; strategy has shifted from California to Canada under funding pressure.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articulated vision beyond developing oil and gas assets and raising capital.</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culture data; micro-cap with financing instability and no evidence of tenure.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rival-learning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Moved from stalled California exploration to Canadian producing assets, an incremental adaptation driven by necessity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Heavy ATM dilution and acquisition-led revenue suggest survival financing, not costly long-term bets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Trio Petroleum at $1.61 is a roughly $8.6M micro-cap with fiscal Q3 2026 revenue up 81.2% to $348,581 as Novacor and new Alberta wells ramp, and cash of $22.1M after $24.2M of ATM sales easing earlier going-concern doubts [1]. Higher oil prices in 2026 gave the stock bursts of momentum.</w:t>
      </w:r>
    </w:p>
    <w:p>
      <w:pPr>
        <w:spacing w:after="120"/>
      </w:pPr>
      <w:r>
        <w:rPr>
          <w:rFonts w:ascii="Calibri" w:hAnsi="Calibri"/>
          <w:b w:val="0"/>
          <w:color w:val="3A4A28"/>
          <w:sz w:val="20"/>
        </w:rPr>
        <w:t>The bear case dominates: the company lost $1.97M in the latest quarter on under $0.4M revenue, ROE is -29%, and funding has come through dilutive ATM issuance. The stock trades below its 50-day average ($2.01) with only about $1.1M of daily dollar volume, so liquidity is borderline. Reserves, production costs and the Canadian integration are unproven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Alberta wells from Novacor ramping revenue beyond $348,581 per quarter [1]</w:t>
      </w:r>
    </w:p>
    <w:p>
      <w:pPr>
        <w:spacing w:before="40" w:after="40"/>
        <w:ind w:left="283"/>
      </w:pPr>
      <w:r>
        <w:rPr>
          <w:rFonts w:ascii="Calibri" w:hAnsi="Calibri"/>
          <w:b/>
          <w:color w:val="4A6B25"/>
          <w:sz w:val="20"/>
        </w:rPr>
        <w:t xml:space="preserve">2. </w:t>
      </w:r>
      <w:r>
        <w:rPr>
          <w:rFonts w:ascii="Calibri" w:hAnsi="Calibri"/>
          <w:b w:val="0"/>
          <w:color w:val="3A4A28"/>
          <w:sz w:val="20"/>
        </w:rPr>
        <w:t>Elevated oil prices lifting realized prices on small production base [1]</w:t>
      </w:r>
    </w:p>
    <w:p>
      <w:pPr>
        <w:spacing w:before="40" w:after="40"/>
        <w:ind w:left="283"/>
      </w:pPr>
      <w:r>
        <w:rPr>
          <w:rFonts w:ascii="Calibri" w:hAnsi="Calibri"/>
          <w:b/>
          <w:color w:val="4A6B25"/>
          <w:sz w:val="20"/>
        </w:rPr>
        <w:t xml:space="preserve">3. </w:t>
      </w:r>
      <w:r>
        <w:rPr>
          <w:rFonts w:ascii="Calibri" w:hAnsi="Calibri"/>
          <w:b w:val="0"/>
          <w:color w:val="3A4A28"/>
          <w:sz w:val="20"/>
        </w:rPr>
        <w:t>Capital Land acquisition adding assets funded by $22.1M cash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Quarterly net loss of $1.97M versus revenue of $348,581 with continued dilution risk [1]</w:t>
      </w:r>
    </w:p>
    <w:p>
      <w:pPr>
        <w:spacing w:before="40" w:after="40"/>
        <w:ind w:left="283"/>
      </w:pPr>
      <w:r>
        <w:rPr>
          <w:rFonts w:ascii="Calibri" w:hAnsi="Calibri"/>
          <w:b/>
          <w:color w:val="4A6B25"/>
          <w:sz w:val="20"/>
        </w:rPr>
        <w:t xml:space="preserve">2. </w:t>
      </w:r>
      <w:r>
        <w:rPr>
          <w:rFonts w:ascii="Calibri" w:hAnsi="Calibri"/>
          <w:b w:val="0"/>
          <w:color w:val="3A4A28"/>
          <w:sz w:val="20"/>
        </w:rPr>
        <w:t>Liquidity floor proximity: about $1.1M daily dollar volume versus $1M threshold</w:t>
      </w:r>
    </w:p>
    <w:p>
      <w:pPr>
        <w:spacing w:before="40" w:after="40"/>
        <w:ind w:left="283"/>
      </w:pPr>
      <w:r>
        <w:rPr>
          <w:rFonts w:ascii="Calibri" w:hAnsi="Calibri"/>
          <w:b/>
          <w:color w:val="4A6B25"/>
          <w:sz w:val="20"/>
        </w:rPr>
        <w:t xml:space="preserve">3. </w:t>
      </w:r>
      <w:r>
        <w:rPr>
          <w:rFonts w:ascii="Calibri" w:hAnsi="Calibri"/>
          <w:b w:val="0"/>
          <w:color w:val="3A4A28"/>
          <w:sz w:val="20"/>
        </w:rPr>
        <w:t>Oil price reversal would erase revenue on a sub-scale production base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Physical oil and gas extraction cannot be displaced by AI and earnings depend on commodity prices and drilling execution, not software substitution. No analyst coverage flags AI risk. AI Opportunity (0/1): No AI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Trio Petroleum Corp 10-Q Summary fiscal Q3 2026, TradingView and StockTitan, 2026; yfinance market data,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