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TPG</w:t>
      </w:r>
      <w:r>
        <w:rPr>
          <w:rFonts w:ascii="Calibri" w:hAnsi="Calibri"/>
          <w:b/>
          <w:color w:val="1A2010"/>
          <w:sz w:val="40"/>
        </w:rPr>
        <w:t xml:space="preserve">  TPG Inc.</w:t>
      </w:r>
    </w:p>
    <w:p>
      <w:pPr>
        <w:spacing w:after="120"/>
      </w:pPr>
      <w:r>
        <w:rPr>
          <w:rFonts w:ascii="Calibri" w:hAnsi="Calibri"/>
          <w:b/>
          <w:color w:val="6E8450"/>
          <w:sz w:val="18"/>
        </w:rPr>
        <w:t>GROWTH SLEEVE · 2026-09-02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TPG Inc. is a leading global alternative asset management firm with $327 billion in assets under management operating across six multi-strategy platforms: Capital (private equity), Growth, Impact (Rise), Credit (Angelo Gordon), Real Estate, and Market Solutions. Q2 2026 marked record performance with fee-related revenue up 27% YoY to $628M, fee-related earnings up 43% to $315M (50% FRE margin), and record $62B in trailing twelve-month deployment. The firm is on track to exceed $50B in capital raised in 2026. TPG manages investments across 33 countries and went public via IPO in January 2022.</w:t>
      </w:r>
    </w:p>
    <w:p>
      <w:r>
        <w:rPr>
          <w:rFonts w:ascii="Calibri" w:hAnsi="Calibri"/>
          <w:b/>
          <w:color w:val="6E8450"/>
          <w:sz w:val="18"/>
        </w:rPr>
        <w:t>1,900 Employees · https://www.tpg.com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TPG executed a transformative platform expansion since its 2022 IPO — AUM grew from ~$135B to $327B (+25% YoY), including the $2.7B Angelo Gordon acquisition that added credit and structured finance capabilities [1]. Q2 2026 saw record deployment of $62B TTM with PE invested up 60% YoY and real estate up 47%. The creation of TPG Rise as a $14B+ dedicated impact investing platform was an industry-defining move [4]. AI Deployment (1/2): TPG appointed Paul Daugherty (former Accenture CTO) as AI Advisory Chair to scale AI initiatives across investment strategies, portfolio value creation, and internal innovation [2]. The firm identified four meta themes — AI Infrastructure, Vertical AI Apps, AI Security, and Services Transformation — as investment priorities. However, no AI-powered products are shipping to external clients and no quantified internal efficiency gains reported. Market Share (1/2): TPG's $327B AUM places it among the top-10 alternative asset managers globally, with 25% YoY AUM growth and $16B raised in Q2 2026 [1]. However, TPG remains significantly smaller than Blackstone ($1T+), Apollo ($700B+), and KKR ($600B+). Product Pipeline (1/2): On track to exceed $50B in capital raised in 2026 across multiple fund strategies. New fund launches across platforms continue, with $72B in available capital for deployment [1]. R&amp;D Intensity (1/1): For an asset management firm, TPG's investment in Y Analytics (proprietary impact measurement), AI Advisory Chair appointment, and firm-wide AI-enabled investment processes represents above-average innovation commitment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TPG describes its approach as 'a principled focus on innovation' centered on innovation-led growth, disruption, and technology [2]. This is clear and identifies the firm's investment philosophy, but 'principled innovation' is interchangeable with most growth-oriented alternative managers. The Rise Fund elevates the purpose but doesn't define the whole firm. Community Impact (2/2): TPG Rise manages $14B+ dedicated to non-concessionary impact investments across climate, education, and healthcare — the world's largest private markets impact investing platform [4]. Y Analytics provides proprietary in-house impact measurement capabilities. The Rise Climate Global South Initiative Fund in partnership with AIIB demonstrates commitment to global development impact. TPG established its ESG policy in 2012, over a decade ahead of most peers [4]. Employee Retention (1/2): CEO Jon Winkelried has been at TPG since 2015 (11 years) after 27 years at Goldman Sachs, providing stable senior leadership through the IPO transition and rapid platform scaling [2]. The firm promotes 'a distinctive culture of openness and collaboration.' No specific turnover data available, but no evidence of leadership instability. Insider Buying (0/2): No evidence of meaningful open-market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(PEG unavailable, excluded). Note that GAAP financial metrics for alternative asset managers are structurally challenging — TPG's economic earnings significantly exceed GAAP due to non-cash compensation, mark-to-market volatility, and performance allocation timing. D/E of 190% reflects $1.72B debt against equity, scoring below the 70% target but above the 300% floor [5]. ROE improved materially to 15.52%, clearing the 15% target as the firm scales fee-related earnings [5]. Forward P/E of 16.54 is below the 20 target, reflecting attractive valuation versus peers Blackstone (~25x) and KKR (~20x) [5]. Fee-related revenue grew 27% YoY to $628M in Q2 2026, exceeding the 10% target [1]. Revenue growth 5yr CAGR estimated at approximately 30% driven by AUM scaling from IPO levels. The key drag is GAAP profit margin of approximately 4%, which reflects non-cash stock compensation and unrealized losses rather than economic profitability — FRE margin was 50% in Q2 2026 [1]. Liquidity easily clears the floor at ~$173M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TPG demonstrates a blend of infinite and finite game tendencies. The Rise Fund platform ($14B+ in impact investing) and the ESG policy established in 2012 reflect genuine long-term purpose beyond profit maximization. CEO Winkelried's 11-year tenure and the firm's patient international expansion show organizational continuity. However, the rapid AUM scaling from $135B to $327B, aggressive fundraising targets ($50B+ in 2026), and intense competitive focus on overtaking larger rivals suggest a company primarily optimizing for growth and scale metrics [1].</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TPG has a genuine, partially-lived purpose through the Rise platform — $14B+ in dedicated impact investing seeking measurable social and environmental outcomes alongside competitive returns [4]. The Rise Climate Global South Initiative Fund with AIIB demonstrates commitment to development impact at global scale. TPG's ESG policy established in 2012, years before ESG became mainstream, shows the cause predated market trends. However, the impact platform represents one of six strategies, and the overall firm's primary animating force remains AUM growth and competitive positioning rather than impact advancement.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Jon Winkelried's 11-year tenure (since 2015, after 27 years at Goldman Sachs) provides stable senior leadership through the IPO transition, Angelo Gordon integration, and rapid platform scaling [2]. TPG promotes a culture of 'openness and collaboration' with emphasis on curiosity and entrepreneurial mindset. The successful integration of Angelo Gordon's team into TPG's credit platform required meaningful cross-organizational trust-building. No specific retention metrics or employee satisfaction data available to validate cultural claims beyond organizational descriptions.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TPG framing competition with Blackstone, KKR, Apollo, or Carlyle as opportunities for self-improvement. The competitive narrative focuses on TPG's differentiation, growth trajectory, and multiple expansion potential relative to larger peers — positioning as undervalued rather than learning from rivals' strengths [1]. The firm's pitch centers on overtaking larger competitors rather than citing them as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TPG evolved from its roots as a traditional PE buyout firm (Texas Pacific Group) to a $327B multi-strategy alternative platform spanning PE, credit, real estate, impact investing, growth equity, and market solutions [1]. The $2.7B Angelo Gordon acquisition fundamentally added credit capabilities. The Rise impact platform was a strategic bet that predated market trends. These are meaningful strategic adaptations, but each was additive (building new platforms on the existing structure) rather than a transformative self-reinvention that abandoned what was working.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Launching TPG Rise as a dedicated impact investing platform in 2016 — establishing an ESG policy in 2012 years before impact investing was mainstream — demonstrated willingness to invest in a long-term thesis when it was unfashionable [4]. The $2.7B Angelo Gordon acquisition during market uncertainty and appointment of Paul Daugherty as AI Advisory Chair show conviction in thematic bets [2]. Record $62B TTM deployment during uncertain macro conditions requires capital commitment. However, these decisions broadly align with secular market trends rather than representing costly contrarian stances.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TPG is a rapidly scaling alternative asset manager delivering record Q2 2026 results — fee-related revenue up 27% to $628M, fee-related earnings up 43% to $315M (50% FRE margin), and AUM at $327B (+25% YoY) [1]. At 16.54x forward earnings versus Blackstone (~25x) and KKR (~20x), the stock trades at a meaningful discount despite accelerating growth. The 5.21% dividend yield ($2.24/share) provides attractive income while the firm scales toward $50B+ in 2026 capital raised. TPG's differentiation through impact investing (Rise, $14B+ AUM with AIIB partnership), AI investment positioning (Paul Daugherty as AI Advisory Chair, four AI meta themes), and record $62B TTM deployment demonstrate platform breadth that may drive multiple expansion as institutional investors increasingly seek diversified alternatives exposure [2][4].</w:t>
      </w:r>
    </w:p>
    <w:p>
      <w:pPr>
        <w:spacing w:after="120"/>
      </w:pPr>
      <w:r>
        <w:rPr>
          <w:rFonts w:ascii="Calibri" w:hAnsi="Calibri"/>
          <w:b w:val="0"/>
          <w:color w:val="3A4A28"/>
          <w:sz w:val="20"/>
        </w:rPr>
        <w:t>The bear case centers on GAAP metric distortion, leverage, and cyclical exposure. Infrastructure scoring is mechanically penalized by GAAP profit margin (~4%) and D/E of 190%, which reflect the complex partnership structure, non-cash stock compensation, and leverage typical of alternative asset managers [5]. The stock has declined ~20% from its 52-week high, reflecting broader market concerns about exit environment uncertainty and rising interest rates pressuring real estate and credit portfolios. Competition from Blackstone ($1T+ AUM), Apollo ($700B+), and KKR ($600B+) for institutional capital is intense, and TPG's relative scale disadvantage limits its ability to win the largest mandates. The variable dividend structure signals earnings volatility inherent to the alternatives business model, and earnings are forecast to decline ~5.6% annually in the near term, raising questions about sustainable distributable earnings growth. The Inspire Impact Score of -67 (MISALIGNED) may limit allocation for faith-based investors despite strong positive ESG attributions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fee-related earnings at $315M quarterly (50% margin) with AUM scaling toward $400B+ through $50B+ annual capital raising target, positioning TPG for continued step-function growth in management fees [1]</w:t>
      </w:r>
    </w:p>
    <w:p>
      <w:pPr>
        <w:spacing w:before="40" w:after="40"/>
        <w:ind w:left="283"/>
      </w:pPr>
      <w:r>
        <w:rPr>
          <w:rFonts w:ascii="Calibri" w:hAnsi="Calibri"/>
          <w:b/>
          <w:color w:val="4A6B25"/>
          <w:sz w:val="20"/>
        </w:rPr>
        <w:t xml:space="preserve">2. </w:t>
      </w:r>
      <w:r>
        <w:rPr>
          <w:rFonts w:ascii="Calibri" w:hAnsi="Calibri"/>
          <w:b w:val="0"/>
          <w:color w:val="3A4A28"/>
          <w:sz w:val="20"/>
        </w:rPr>
        <w:t>Multiple expansion potential — TPG at 16.54x forward P/E versus Blackstone ~25x and KKR ~20x implies 20-50% upside if the market reclassifies TPG as a scaled diversified alternative platform [5]</w:t>
      </w:r>
    </w:p>
    <w:p>
      <w:pPr>
        <w:spacing w:before="40" w:after="40"/>
        <w:ind w:left="283"/>
      </w:pPr>
      <w:r>
        <w:rPr>
          <w:rFonts w:ascii="Calibri" w:hAnsi="Calibri"/>
          <w:b/>
          <w:color w:val="4A6B25"/>
          <w:sz w:val="20"/>
        </w:rPr>
        <w:t xml:space="preserve">3. </w:t>
      </w:r>
      <w:r>
        <w:rPr>
          <w:rFonts w:ascii="Calibri" w:hAnsi="Calibri"/>
          <w:b w:val="0"/>
          <w:color w:val="3A4A28"/>
          <w:sz w:val="20"/>
        </w:rPr>
        <w:t>AI investment positioning with Paul Daugherty as Advisory Chair and four identified meta themes (AI Infrastructure, Vertical AI Apps, AI Security, Services Transformation), combined with Rise Climate and Global South initiatives, creating differentiated thematic exposure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Capital markets cyclicality — a downturn in PE deal activity, credit markets, or real estate valuations could simultaneously pressure fundraising, deployment, and realizations across all six platforms, compressing fee revenue and carried interest [1]</w:t>
      </w:r>
    </w:p>
    <w:p>
      <w:pPr>
        <w:spacing w:before="40" w:after="40"/>
        <w:ind w:left="283"/>
      </w:pPr>
      <w:r>
        <w:rPr>
          <w:rFonts w:ascii="Calibri" w:hAnsi="Calibri"/>
          <w:b/>
          <w:color w:val="4A6B25"/>
          <w:sz w:val="20"/>
        </w:rPr>
        <w:t xml:space="preserve">2. </w:t>
      </w:r>
      <w:r>
        <w:rPr>
          <w:rFonts w:ascii="Calibri" w:hAnsi="Calibri"/>
          <w:b w:val="0"/>
          <w:color w:val="3A4A28"/>
          <w:sz w:val="20"/>
        </w:rPr>
        <w:t>D/E of 190% represents elevated leverage for the partnership structure, with $1.72B in debt against $826M cash creating net debt of ~$896M that amplifies downside risk in adverse market conditions [5]</w:t>
      </w:r>
    </w:p>
    <w:p>
      <w:pPr>
        <w:spacing w:before="40" w:after="40"/>
        <w:ind w:left="283"/>
      </w:pPr>
      <w:r>
        <w:rPr>
          <w:rFonts w:ascii="Calibri" w:hAnsi="Calibri"/>
          <w:b/>
          <w:color w:val="4A6B25"/>
          <w:sz w:val="20"/>
        </w:rPr>
        <w:t xml:space="preserve">3. </w:t>
      </w:r>
      <w:r>
        <w:rPr>
          <w:rFonts w:ascii="Calibri" w:hAnsi="Calibri"/>
          <w:b w:val="0"/>
          <w:color w:val="3A4A28"/>
          <w:sz w:val="20"/>
        </w:rPr>
        <w:t>Fundraising competition from Blackstone ($1T+ AUM), KKR ($600B+), and Apollo ($700B+) intensifying as the alternative assets industry matures, potentially compressing management fees and limiting TPG's ability to win the largest institutional mandates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Alternative asset management is structurally well-protected from AI disruption — the core value proposition of relationship-driven deal sourcing, complex multi-billion-dollar negotiations, portfolio management across 33 countries, and institutional investor relations relies fundamentally on human expertise, judgment, trust, and proprietary access that AI cannot replicate [2]. Regulatory complexity, fiduciary requirements, and the deeply relationship-intensive nature of raising capital from sovereign wealth funds, pension plans, and endowments create barriers that AI structurally cannot cross. CEO Winkelried has described AI as 'a generational investing opportunity' — positioning TPG as an AI investor rather than an AI-disrupted business [2]. AI Opportunity (0/1): While TPG has appointed Paul Daugherty as AI Advisory Chair and identified four AI investment meta themes, the firm does not generate quantifiable revenue from AI products sold to external clients [2]. TPG invests in AI companies through its funds and uses AI internally for diligence and portfolio monitoring, but these are fund management activities, not AI product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TPG Q2 2026 Earnings — $327B AUM (+25% YoY), Fee-Related Revenue $628M (+27%), FRE $315M (+43%, 50% Margin), Record $62B TTM Deployment, $16B Capital Raised, On Track for $50B+ in 2026 — Yahoo Finance, Investing.com, ChartMill, August 2026</w:t>
      </w:r>
    </w:p>
    <w:p>
      <w:pPr>
        <w:spacing w:before="20" w:after="20"/>
        <w:ind w:left="170"/>
      </w:pPr>
      <w:r>
        <w:rPr>
          <w:rFonts w:ascii="Calibri" w:hAnsi="Calibri"/>
          <w:b/>
          <w:color w:val="4A6B25"/>
          <w:sz w:val="15"/>
        </w:rPr>
        <w:t xml:space="preserve">2. </w:t>
      </w:r>
      <w:r>
        <w:rPr>
          <w:rFonts w:ascii="Calibri" w:hAnsi="Calibri"/>
          <w:b w:val="0"/>
          <w:color w:val="3A4A28"/>
          <w:sz w:val="17"/>
        </w:rPr>
        <w:t>TPG AI Strategy and Leadership — Paul Daugherty as AI Advisory Chair, Four AI Meta Themes, CEO Jon Winkelried Commentary, Corporate Website, LinkedIn, 2026</w:t>
      </w:r>
    </w:p>
    <w:p>
      <w:pPr>
        <w:spacing w:before="20" w:after="20"/>
        <w:ind w:left="170"/>
      </w:pPr>
      <w:r>
        <w:rPr>
          <w:rFonts w:ascii="Calibri" w:hAnsi="Calibri"/>
          <w:b/>
          <w:color w:val="4A6B25"/>
          <w:sz w:val="15"/>
        </w:rPr>
        <w:t xml:space="preserve">3. </w:t>
      </w:r>
      <w:r>
        <w:rPr>
          <w:rFonts w:ascii="Calibri" w:hAnsi="Calibri"/>
          <w:b w:val="0"/>
          <w:color w:val="3A4A28"/>
          <w:sz w:val="17"/>
        </w:rPr>
        <w:t>TPG About Us — 'Principled Focus on Innovation,' Culture of Openness, Thematic Investing, TPG Corporate Website, 2026</w:t>
      </w:r>
    </w:p>
    <w:p>
      <w:pPr>
        <w:spacing w:before="20" w:after="20"/>
        <w:ind w:left="170"/>
      </w:pPr>
      <w:r>
        <w:rPr>
          <w:rFonts w:ascii="Calibri" w:hAnsi="Calibri"/>
          <w:b/>
          <w:color w:val="4A6B25"/>
          <w:sz w:val="15"/>
        </w:rPr>
        <w:t xml:space="preserve">4. </w:t>
      </w:r>
      <w:r>
        <w:rPr>
          <w:rFonts w:ascii="Calibri" w:hAnsi="Calibri"/>
          <w:b w:val="0"/>
          <w:color w:val="3A4A28"/>
          <w:sz w:val="17"/>
        </w:rPr>
        <w:t>TPG Impact Platform — Rise Fund $14B+ AUM, Rise Climate Global South Initiative Fund with AIIB, Y Analytics, ESG Policy Since 2012 — Corporate Website, AIIB, PRNewswire,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Simply Wall St — TPG Key Statistics: Forward P/E 16.54x, ROE 15.52%, D/E 190%, Dividend Yield 5.21%, Stock Price $52.72, Avg Volume 3.28M,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