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TPR</w:t>
      </w:r>
      <w:r>
        <w:rPr>
          <w:rFonts w:ascii="Calibri" w:hAnsi="Calibri"/>
          <w:b/>
          <w:color w:val="1A2010"/>
          <w:sz w:val="40"/>
        </w:rPr>
        <w:t xml:space="preserve">  Tapestry, Inc.</w:t>
      </w:r>
    </w:p>
    <w:p>
      <w:pPr>
        <w:spacing w:after="120"/>
      </w:pPr>
      <w:r>
        <w:rPr>
          <w:rFonts w:ascii="Calibri" w:hAnsi="Calibri"/>
          <w:b/>
          <w:color w:val="6E8450"/>
          <w:sz w:val="18"/>
        </w:rPr>
        <w:t>GROWTH SLEEVE · 2026-09-09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Luxury Goods · NYSE · United States</w:t>
      </w:r>
    </w:p>
    <w:p>
      <w:pPr>
        <w:spacing w:after="80"/>
      </w:pPr>
      <w:r>
        <w:rPr>
          <w:rFonts w:ascii="Calibri" w:hAnsi="Calibri"/>
          <w:b w:val="0"/>
          <w:color w:val="3A4A28"/>
          <w:sz w:val="20"/>
        </w:rPr>
        <w:t>Tapestry, Inc. is a global house of luxury accessories and lifestyle brands, including Coach (the flagship, ~two-thirds of revenue), Kate Spade, and Stuart Weitzman. CEO Joanne Crevoiserat's Amplify strategy has driven a remarkable transformation: FY2026 revenue reached $8B (+17% pro forma constant currency), EPS surged 38% to $7.05, operating margin expanded 340 bps to over 23%, and the company exceeded its 3-year Investor Day revenue, margin, and EPS targets two years ahead of plan [1]. Coach delivered double-digit revenue growth every quarter of FY2026. The company returned $1.7B to shareholders and announced a 16% dividend increase. Digital revenue has tripled from $600M to $2B over three years [3]. Founded in 1941 as Coach Leatherware, rebranded to Tapestry in 2017. Headquartered in New York City.</w:t>
      </w:r>
    </w:p>
    <w:p>
      <w:r>
        <w:rPr>
          <w:rFonts w:ascii="Calibri" w:hAnsi="Calibri"/>
          <w:b/>
          <w:color w:val="6E8450"/>
          <w:sz w:val="18"/>
        </w:rPr>
        <w:t>18,500 Employees · https://www.tapestry.com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CEO Crevoiserat's Amplify strategy has produced a genuinely transformative repositioning of Coach from discounted accessible luxury to modern luxury, exceeding the company's 3-year Investor Day revenue, operating margin, and EPS commitments two years ahead of plan [1]. FY2026 revenue reached $8B (+17%), EPS surged 38% to $7.05, operating margin expanded 340 bps to 23%+, Coach handbag AUR rose mid-teens with units up low double-digits, and digital revenue tripled from $600M to $2B [1][3]. This is not incremental improvement — it is a platform-level transformation of a heritage luxury brand's positioning, profitability, and digital capability. AI Deployment (1/2): Tapestry hosted its second annual Future Now AI Summit, deploying AI across retail, supply chain, finance, and data analysis operations [3]. The digital revenue tripling from $600M to $2B was enabled by AI-powered marketing campaigns and personalization. However, no AI-powered consumer products or separately quantified AI revenue streams have been disclosed. Market Share (1/2): Coach is the leading brand in U.S. accessible luxury handbags with mid-teens AUR growth and double-digit unit growth demonstrating genuine pricing power and share gains [1]. Greater China revenue grew 28% in Q4 and 61% in Q3, showing rapid share gains in the world's largest luxury market. However, Tapestry remains a distant player relative to LVMH, Kering, and Hermes in global luxury. Product Pipeline (1/2): FY2027 guidance of mid-single-digit revenue growth and low double-digit EPS growth, plus the 16% dividend increase, signals management confidence in sustained momentum [2]. Kate Spade and Stuart Weitzman remain turnaround challenges. R&amp;D Intensity (0/1): Luxury fashion invests in design and marketing rather than traditional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Tapestry's purpose — 'to stretch what's possible for each other, for our communities, for the planet' — connects the company's work to a broader vision and is supported by the Fabric of Change corporate responsibility strategy [5]. Crevoiserat's leadership has been consistently mission-oriented, emphasizing culture and curiosity over pure financial targets. However, the purpose is not distinctively tied to luxury fashion and hasn't been tested through multi-decade crisis validation. Community Impact (2/2): The Tapestry Foundation exceeded its $75M product and financial donation goal two years ahead of schedule. The company nearly quadrupled its investment in Gen Phoenix sustainable leather materials and maintains active community programs through Fabric of Change across four pillars (sustainable products, climate action, community uplift, empowering people) [5]. Employee Retention (1/2): Glassdoor rating of 4.0/5 with 80% employee recommendation. The second annual AI Summit and culture of curiosity show genuine investment in employee development. However, some mixed reviews cite leadership concerns and work-life balance issues, and no specific retention metrics are published. Insider Buying (0/2): Significant net insider selling: CEO Crevoiserat sold $6.8M+ in 2026, Coach CEO Kahn sold $8.8M+ — mostly post-option exercise but representing substantial net selling that undercuts conviction signaling.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FY2026 delivered exceptional results: revenue of $8B (+17%), EPS of $7.05 (+38%), and operating margin expanding 340 bps to 23%+, exceeding Investor Day targets two years early [1]. ROE of 60.91% is exceptionally high, reflecting strong profitability amplified by a low equity base from aggressive buybacks [6]. Forward P/E of 19.88 is just below the 20x target and attractive for a luxury brand delivering this growth profile. Estimated PEG of ~1.7 (forward PE / ~12% EPS growth guidance) scores well at 2x weight. D/E of 575% scores 0 — reflecting $3.94B in debt with equity depleted by cumulative buybacks, not operational distress [6]. Net profit margin of 8.44% is the key drag, depressed by the failed Capri acquisition charges in FY2025 TTM calculations; underlying operating margin of 23%+ reflects the true profitability. Revenue growth 5yr CAGR of ~9% (FY2021 ~$5.3B to FY2026 $8B) nearly meets the 10% target with 2x weight. Liquidity of ~$316M daily easily clears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Tapestry demonstrates an increasingly infinite game posture under CEO Crevoiserat's consistent Amplify strategy. The Coach brand elevation from discounted to modern luxury represents genuine long-term strategic thinking sustained over 3+ years despite short-term pressures, and the decision to pivot from the failed Capri mega-deal to organic growth and $1.7B in shareholder returns showed strategic discipline [1][2]. The Tapestry Foundation exceeding its $75M giving goal and the culture of curiosity around AI innovation suggest purpose beyond quarterly earnings. However, the aggressive financial engineering (575% D/E from buybacks), heavy insider selling ($15M+ by top executives), and the original Capri acquisition attempt reveal finite-game elements of scale-chasing and personal wealth extraction.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Tapestry's purpose of 'stretching what's possible' is aspirational and has been more consistently lived under Crevoiserat's Amplify strategy — the Coach brand elevation was pursued with multi-year discipline rather than quarterly optimization [1]. The Tapestry Foundation's $75M giving goal (exceeded 2 years early) and Fabric of Change sustainability framework demonstrate purpose beyond profit [5]. However, the failed Capri acquisition — driven by scale and market share ambitions — suggests strategic decisions are still heavily influenced by competitive positioning rather than an enduring cause. Coach's 1941 heritage provides mission DNA around craftsmanship, but this is not yet a fully articulated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4.0/5 with 80% employee recommendation indicates an adequate trust environment. Crevoiserat's leadership has provided stability since 2020, and the culture of curiosity — exemplified by the annual AI Summit giving employees room to explore new technology — shows investment in organizational learning [3]. However, some employees report leadership concerns and work-life balance issues. The heavy insider selling by top executives creates a perception gap between management's private actions and public messaging about company confidence.</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Tapestry's post-Capri competitive positioning focuses on elevating Coach's brand quality and customer experience rather than attacking competitors like LVMH, Kering, or Capri Holdings [1]. The pivot from the failed Capri merger to organic growth and shareholder returns shows adaptive competitive thinking — accepting the FTC loss and redirecting capital rather than pursuing a destructive legal battle. Management commentary centers on Coach's brand journey rather than market share warfare. However, no specific examples of learning from competitors' strengths were identified.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Tapestry has executed two significant strategic pivots under Crevoiserat. First, Coach's repositioning from discounted/outlet-driven to modern luxury — with handbag AUR up mid-teens, units up low double-digits, and digital revenue tripled — represents a genuine business model transformation within the brand [1][3]. Second, the pivot from the failed Capri mega-deal to aggressive organic growth and $1.7B in shareholder returns showed willingness to completely redirect strategy when circumstances demanded it. Greater China revenue surging 28-61% quarterly demonstrates geographic flexibility. These are meaningful, not incremental, strategic evolutions.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Crevoiserat has demonstrated consistent courage. She took over during the pandemic crisis after CEO Zeitlin's sudden departure and stabilized a multi-brand luxury company in a global shutdown. The decision to elevate Coach's positioning — accepting near-term revenue risk from reducing outlet dependence — required conviction that played out over 3+ years and is now validated by mid-teens AUR growth [1]. Walking away from the failed $8.5B Capri acquisition without damage, then pivoting to return $1.7B to shareholders and raise the dividend 16%, showed capital allocation discipline [2]. The commitment to a second annual AI Summit and enterprise-wide AI adoption represents a willingness to invest in uncertain but strategically important capabilities.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Tapestry at 19.88x forward earnings is a transformed luxury house delivering exceptional results — FY2026 revenue reached $8B (+17% pro forma CC), EPS surged 38% to $7.05, and operating margin expanded 340 bps to 23%+, exceeding the company's own 3-year Investor Day targets two years early [1]. Coach was the engine: double-digit revenue growth every quarter of FY2026, with handbag AUR up mid-teens and units up low double-digits demonstrating simultaneous pricing power and volume growth — the hallmark of a brand gaining share from a position of strength. Greater China revenue grew 28% in Q4, signaling a major geographic expansion runway [2]. Digital revenue tripled from $600M to $2B over three years, and the annual AI Summit positions Tapestry ahead of luxury peers in technology adoption [3]. The $1.7B returned to shareholders in FY2026, with $1.7B planned for FY2027 including a 16% dividend increase, demonstrates strong free cash flow generation [2]. FY2027 guidance of mid-single-digit revenue growth and low double-digit EPS growth provides continued momentum visibility.</w:t>
      </w:r>
    </w:p>
    <w:p>
      <w:pPr>
        <w:spacing w:after="120"/>
      </w:pPr>
      <w:r>
        <w:rPr>
          <w:rFonts w:ascii="Calibri" w:hAnsi="Calibri"/>
          <w:b w:val="0"/>
          <w:color w:val="3A4A28"/>
          <w:sz w:val="20"/>
        </w:rPr>
        <w:t>The bear case centers on concentration risk, leverage, and insider selling. Coach accounts for roughly two-thirds of revenue and virtually all growth — Kate Spade and Stuart Weitzman remain underperformers, making Tapestry increasingly a single-brand company with multi-brand overhead [1]. D/E of 575% reflects an aggressively leveraged balance sheet with $3.94B in debt, creating vulnerability in a consumer slowdown — equity has been depleted by cumulative buybacks rather than operational losses, but the leverage is real [6]. GAAP net profit margin of 8.44% is depressed by Capri-related charges but significantly below luxury peers like LVMH (15%+) and Hermes (30%+). Heavy insider selling by CEO Crevoiserat ($6.8M+) and Coach CEO Kahn ($8.8M+) signals that leadership may view the stock as fairly valued despite the strong operational performance. The stock has declined 13% from recent highs despite exceptional results, suggesting the market is pricing in growth deceleration. The Inspire Impact Score of -49 (MISALIGNED) limits the faith-based investor universe.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Coach brand momentum sustained into FY2027 with double-digit growth trajectory, mid-teens AUR expansion, and Greater China acceleration (28% Q4 growth) opening a massive geographic expansion runway [1][2]</w:t>
      </w:r>
    </w:p>
    <w:p>
      <w:pPr>
        <w:spacing w:before="40" w:after="40"/>
        <w:ind w:left="283"/>
      </w:pPr>
      <w:r>
        <w:rPr>
          <w:rFonts w:ascii="Calibri" w:hAnsi="Calibri"/>
          <w:b/>
          <w:color w:val="4A6B25"/>
          <w:sz w:val="20"/>
        </w:rPr>
        <w:t xml:space="preserve">2. </w:t>
      </w:r>
      <w:r>
        <w:rPr>
          <w:rFonts w:ascii="Calibri" w:hAnsi="Calibri"/>
          <w:b w:val="0"/>
          <w:color w:val="3A4A28"/>
          <w:sz w:val="20"/>
        </w:rPr>
        <w:t>Operating margin expansion beyond 23% as Coach's premium mix shift and digital revenue (now $2B, tripled in 3 years) drive profitability toward European luxury peer levels [1][3]</w:t>
      </w:r>
    </w:p>
    <w:p>
      <w:pPr>
        <w:spacing w:before="40" w:after="40"/>
        <w:ind w:left="283"/>
      </w:pPr>
      <w:r>
        <w:rPr>
          <w:rFonts w:ascii="Calibri" w:hAnsi="Calibri"/>
          <w:b/>
          <w:color w:val="4A6B25"/>
          <w:sz w:val="20"/>
        </w:rPr>
        <w:t xml:space="preserve">3. </w:t>
      </w:r>
      <w:r>
        <w:rPr>
          <w:rFonts w:ascii="Calibri" w:hAnsi="Calibri"/>
          <w:b w:val="0"/>
          <w:color w:val="3A4A28"/>
          <w:sz w:val="20"/>
        </w:rPr>
        <w:t>Shareholder return program of $1.7B planned for FY2027, including a 16% dividend increase, funded by strong free cash flow and demonstrating capital allocation discipline post-Capri pivot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Single-brand concentration risk intensifying as Coach drives virtually all growth while Kate Spade and Stuart Weitzman stagnate, creating a one-brand company with multi-brand corporate overhead costs [1]</w:t>
      </w:r>
    </w:p>
    <w:p>
      <w:pPr>
        <w:spacing w:before="40" w:after="40"/>
        <w:ind w:left="283"/>
      </w:pPr>
      <w:r>
        <w:rPr>
          <w:rFonts w:ascii="Calibri" w:hAnsi="Calibri"/>
          <w:b/>
          <w:color w:val="4A6B25"/>
          <w:sz w:val="20"/>
        </w:rPr>
        <w:t xml:space="preserve">2. </w:t>
      </w:r>
      <w:r>
        <w:rPr>
          <w:rFonts w:ascii="Calibri" w:hAnsi="Calibri"/>
          <w:b w:val="0"/>
          <w:color w:val="3A4A28"/>
          <w:sz w:val="20"/>
        </w:rPr>
        <w:t>D/E ratio of 575% and $3.94B in debt create significant balance sheet vulnerability in a consumer downturn or credit market disruption, with equity depleted by aggressive buybacks leaving minimal book value cushion [6]</w:t>
      </w:r>
    </w:p>
    <w:p>
      <w:pPr>
        <w:spacing w:before="40" w:after="40"/>
        <w:ind w:left="283"/>
      </w:pPr>
      <w:r>
        <w:rPr>
          <w:rFonts w:ascii="Calibri" w:hAnsi="Calibri"/>
          <w:b/>
          <w:color w:val="4A6B25"/>
          <w:sz w:val="20"/>
        </w:rPr>
        <w:t xml:space="preserve">3. </w:t>
      </w:r>
      <w:r>
        <w:rPr>
          <w:rFonts w:ascii="Calibri" w:hAnsi="Calibri"/>
          <w:b w:val="0"/>
          <w:color w:val="3A4A28"/>
          <w:sz w:val="20"/>
        </w:rPr>
        <w:t>Heavy insider selling by CEO Crevoiserat ($6.8M+) and Coach CEO Kahn ($8.8M+) in 2026 raises questions about leadership conviction at current valuations, despite operational results being the strongest in company history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Tapestry's core business — designing, manufacturing, and selling luxury leather goods, handbags, footwear, and accessories — is fundamentally protected by physical product creation, brand heritage (Coach founded 1941), retail store experiences, and the emotional/status value of luxury goods [1]. AI cannot replicate the craftsmanship, brand cachet, and in-store experience that drive luxury purchasing decisions. However, AI is actively transforming fashion retail: AI-powered personalization, virtual try-on, and direct-to-consumer digital marketing could level the playing field between heritage brands and digitally native competitors. The 'accessible luxury' segment where Tapestry operates is more vulnerable to AI disruption than ultra-luxury (Hermes, Chanel) because brand mystique is less of a moat. AI Opportunity (1/1): Tapestry generates meaningful AI-driven value through its digital transformation: digital revenue tripled from $600M to $2B over three years through AI-powered marketing campaigns, the second annual Future Now AI Summit showcases enterprise-wide AI adoption, and AI is deployed across retail, supply chain, finance, and data analysis [3]. This is concrete, quantified, and more advanced than most luxury peers.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Tapestry FY2026 Full Year Results — Revenue $8B (+17% pro forma CC), EPS $7.05 (+38%), operating margin 23%+ (+340 bps), exceeded 3-year targets 2 years early, BusinessWire/Yahoo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Tapestry Q4 FY2026 Earnings — Adjusted EPS $1.32 vs $1.26 expected, Coach +14%, North America +7%, China +28%, Europe +19%, FY2027 guidance: mid-single-digit revenue, low double-digit EPS, 16% dividend increase, Yahoo Finance/Motley Fool, August 2026</w:t>
      </w:r>
    </w:p>
    <w:p>
      <w:pPr>
        <w:spacing w:before="20" w:after="20"/>
        <w:ind w:left="170"/>
      </w:pPr>
      <w:r>
        <w:rPr>
          <w:rFonts w:ascii="Calibri" w:hAnsi="Calibri"/>
          <w:b/>
          <w:color w:val="4A6B25"/>
          <w:sz w:val="15"/>
        </w:rPr>
        <w:t xml:space="preserve">3. </w:t>
      </w:r>
      <w:r>
        <w:rPr>
          <w:rFonts w:ascii="Calibri" w:hAnsi="Calibri"/>
          <w:b w:val="0"/>
          <w:color w:val="3A4A28"/>
          <w:sz w:val="17"/>
        </w:rPr>
        <w:t>Tapestry AI and Digital Innovation — Second annual Future Now AI Summit, digital revenue $600M to $2B, AI across retail/supply chain/finance, culture of curiosity, Forbes/Tapestry Corporate/WWD, 2024-2026</w:t>
      </w:r>
    </w:p>
    <w:p>
      <w:pPr>
        <w:spacing w:before="20" w:after="20"/>
        <w:ind w:left="170"/>
      </w:pPr>
      <w:r>
        <w:rPr>
          <w:rFonts w:ascii="Calibri" w:hAnsi="Calibri"/>
          <w:b/>
          <w:color w:val="4A6B25"/>
          <w:sz w:val="15"/>
        </w:rPr>
        <w:t xml:space="preserve">4. </w:t>
      </w:r>
      <w:r>
        <w:rPr>
          <w:rFonts w:ascii="Calibri" w:hAnsi="Calibri"/>
          <w:b w:val="0"/>
          <w:color w:val="3A4A28"/>
          <w:sz w:val="17"/>
        </w:rPr>
        <w:t>Tapestry CEO Joanne Crevoiserat Amplify Strategy — Brand elevation, Gen Z opportunity, reinvention of American luxury, FinancialContent, April 2026</w:t>
      </w:r>
    </w:p>
    <w:p>
      <w:pPr>
        <w:spacing w:before="20" w:after="20"/>
        <w:ind w:left="170"/>
      </w:pPr>
      <w:r>
        <w:rPr>
          <w:rFonts w:ascii="Calibri" w:hAnsi="Calibri"/>
          <w:b/>
          <w:color w:val="4A6B25"/>
          <w:sz w:val="15"/>
        </w:rPr>
        <w:t xml:space="preserve">5. </w:t>
      </w:r>
      <w:r>
        <w:rPr>
          <w:rFonts w:ascii="Calibri" w:hAnsi="Calibri"/>
          <w:b w:val="0"/>
          <w:color w:val="3A4A28"/>
          <w:sz w:val="17"/>
        </w:rPr>
        <w:t>Tapestry Corporate Responsibility — Fabric of Change strategy, Tapestry Foundation $75M goal exceeded 2 years early, Gen Phoenix sustainable leather, BusinessWire, January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StockAnalysis — TPR Key Statistics: Forward P/E 19.88x, ROE 60.91%, D/E 575%, Profit Margin 8.44%, Stock Price $117.99,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