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TRGP</w:t>
      </w:r>
      <w:r>
        <w:rPr>
          <w:rFonts w:ascii="Calibri" w:hAnsi="Calibri"/>
          <w:b/>
          <w:color w:val="1A2010"/>
          <w:sz w:val="40"/>
        </w:rPr>
        <w:t xml:space="preserve">  Targa Resources Corp.</w:t>
      </w:r>
    </w:p>
    <w:p>
      <w:pPr>
        <w:spacing w:after="120"/>
      </w:pPr>
      <w:r>
        <w:rPr>
          <w:rFonts w:ascii="Calibri" w:hAnsi="Calibri"/>
          <w:b/>
          <w:color w:val="6E8450"/>
          <w:sz w:val="18"/>
        </w:rPr>
        <w:t>GROWTH SLEEVE · 2026-09-21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United States</w:t>
      </w:r>
    </w:p>
    <w:p>
      <w:pPr>
        <w:spacing w:after="80"/>
      </w:pPr>
      <w:r>
        <w:rPr>
          <w:rFonts w:ascii="Calibri" w:hAnsi="Calibri"/>
          <w:b w:val="0"/>
          <w:color w:val="3A4A28"/>
          <w:sz w:val="20"/>
        </w:rPr>
        <w:t>Targa Resources Corp. is one of the largest independent midstream infrastructure companies in North America, providing gathering, processing, and transportation services for natural gas and natural gas liquids (NGLs). The company operates approximately 45,000 miles of natural gas pipelines and 43 gas processing plants, primarily in the Permian Basin. A FORTUNE 500 and S&amp;P 500 constituent headquartered in Houston, Texas. Q1 2026 delivered record results with net income of $480M (up 141% YoY), and the company raised 2026 EBITDA guidance to $5.4-5.6B.</w:t>
      </w:r>
    </w:p>
    <w:p>
      <w:r>
        <w:rPr>
          <w:rFonts w:ascii="Calibri" w:hAnsi="Calibri"/>
          <w:b/>
          <w:color w:val="6E8450"/>
          <w:sz w:val="18"/>
        </w:rPr>
        <w:t>3,570 Employees · https://www.targaresources.com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Targa executed a strategic transformation over the past five years, shifting to over 90% fee-based revenue, significantly reducing commodity price exposure and improving earnings predictability [1]. Record FY2025 adjusted EBITDA of $4.96B (up 20%) and Q1 2026 net income of $480M (up 141% YoY) demonstrate execution [2]. The Yeti and Falcon II processing plants expanded Permian capacity, and the Driver AGI #1 well in Midland County became a flagship for acid gas injection, sequestering 950 metric tons of CO2 and hydrogen sulfide per day [3]. AI Deployment (1/2): Targa has deployed AI-driven 'digital twins' of its processing plants to optimize energy efficiency and detect leaks in real-time, generating measurable improvements in plant uptime and emissions reduction [3]. However, no specific dollar savings have been publicly quantified. Market Share (2/2): Targa is one of the largest independent midstream operators in North America, with dominant gathering and processing positions in the Permian Basin — the most prolific and fastest-growing production basin in the U.S. [1][2]. The AGI technology enables Targa to process 'sour gas' that competitors reject, creating a unique competitive edge in the Delaware Basin [3]. Product Pipeline (1/2): Net growth capital expenditures of approximately $4.5B for 2026, with specific Permian expansion projects including additional processing capacity and NGL pipeline infrastructure [2]. These are infrastructure builds rather than novel product categories. R&amp;D Intensity (0/1): As a midstream infrastructure company, Targa does not report meaningful R&amp;D spending as a percentage of revenue — capital is allocated to infrastructure construction and maintenance, though the AGI technology development represents engineering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Targa articulates a purpose centered on safely and reliably providing essential energy infrastructure services, connecting production to markets. The mission is clear and specific to midstream operations but does not articulate a transformative or aspirational vision beyond operational excellence. Community Impact (1/2): Targa engages in corporate philanthropy and community investment in operating regions, with emphasis on safety culture and environmental stewardship, supported by a Senior VP of Sustainability reporting directly to the CEO [4]. The Driver AGI well demonstrates active environmental investment. Employee Retention (1/2): Leadership demonstrates strong stability — CEO Matt Meloy rose through the ranks from CFO, and Jennifer Kneale was promoted to President in March 2025, indicating a promote-from-within culture that retains institutional knowledge [3]. Governance experts cite Targa's management for transparency and ability to hit project deadlines. No specific turnover data publicly available. Insider Buying (1/2): Executive compensation is heavily equity-based, aligning management with shareholders. Meloy and Kneale's long internal tenures represent sustained personal investment in the company's success, but no notable net insider purchases beyond compensation-related transactions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ROE of 70.84% scores 1.0 (2x weight), reflecting exceptional capital efficiency driven by fee-based cash flow generation [5]. Revenue growth YoY of 4.2% scores 0.81, modest for a growth stock but typical for midstream where pass-through revenue volumes create denominator inflation [2]. Revenue growth 5yr CAGR of approximately 20% (COVID-distorted base year) scores 1.0 (2x weight). Forward P/E of 24.19 scores 0.90, somewhat elevated versus the 20x target reflecting the stock's premium re-rating [5]. Profit margin of 13.55% scores 0.68, improving from prior periods as fee-based revenue reduces commodity pass-through dilution [5]. PEG of 1.25 scores 0.88 (2x weight), attractive relative to growth trajectory with 2026 EBITDA guided to $5.4-5.6B [2]. The primary drag is D/E of 515.79% scoring 0.0, reflecting the capital-intensive nature of midstream infrastructure and significant debt against $16B+ in total borrowings, though this is supported by highly predictable fee-based cash flows [5]. Weighted sum 8.13/10, Infrastructure 8/10. Liquidity floor cleared: 1.25M avg volume x $292.19 = $365M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Targa operates with a mixture of infinite and finite thinking. The strategic shift to a 90%+ fee-based model demonstrates long-term thinking that prioritizes earnings stability over commodity-linked upside. Leadership continuity — with Meloy rising from CFO to CEO and Kneale promoted to President — reflects institutional commitment to building enduring capability. However, the company's primary orientation remains shareholder returns (buybacks, dividend growth, $4.5B capex deployment) and infrastructure expansion, which are more finite game metrics than purpose-driven infinite game indicators.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Targa's purpose of providing essential energy infrastructure connecting production to markets is genuine and durable — the company has operated in midstream for over two decades and consistently invested through commodity cycles [1]. Strategic decisions (fee-based transition, Permian-first strategy, AGI technology for environmental stewardship) clearly connect to this infrastructure mission [3]. However, the purpose is fundamentally operational rather than transformative; it describes what Targa does, not a future state the company is advancing toward.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Targa demonstrates solid organizational stability with long-tenured leadership — Matt Meloy rose from CFO to CEO, Jennifer Kneale was promoted to President, and the executive team shows strong continuity [3]. Governance experts frequently cite the management team for transparency and consistent execution. The company emphasizes safety culture and operational excellence as core values. However, no specific evidence of exceptional psychological safety or below-industry turnover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Targa competes in a concentrated midstream sector alongside Enterprise Products Partners, ONEOK, and Energy Transfer, and management's strategic commentary consistently focuses on improving Targa's own competitive positioning — expanding capacity, improving operational efficiency through digital twins, and strengthening customer relationships [1][2]. The Permian-first strategy reflects choosing a differentiated path based on Targa's own strengths rather than competing head-to-head across all basins.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Targa's most significant strategic evolution was the transition from a commodity-exposed business model to 90%+ fee-based revenue, fundamentally changing the company's earnings profile and risk characteristics [1]. The partnership-to-C-corp conversion and survival through the 2020 commodity crash demonstrated adaptability. The AGI technology represents a new capability for processing previously uneconomic gas [3]. These were meaningful adaptations but incremental rather than transformative — the core business of gathering, processing, and transporting hydrocarbons has remained constant.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Targa committed approximately $4.5B in net growth capital expenditures for 2026, representing a significant bet on continued Permian Basin production growth [2]. The company maintained infrastructure investment through the 2020 commodity downturn when many peers pulled back, and the decision to sacrifice commodity upside by moving to fee-based contracts showed willingness to prioritize long-term stability. The Driver AGI well investment addresses environmental concerns while creating competitive advantage [3]. However, these decisions were supported by strong industry tailwinds and significant free cash flow.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Targa Resources delivered record Q1 2026 results with net income of $480M (up 141% YoY) and raised 2026 EBITDA guidance to $5.4-5.6B, following record FY2025 adjusted EBITDA of $4.96B (up 20%) and net income of $1.85B (up 46%) [1][2]. The company's transformation to 90%+ fee-based revenue provides earnings stability, while the Permian Basin's production growth and surging AI-driven natural gas demand offer structural tailwinds [3]. At a forward PEG of 1.25 and forward P/E of 24.19, Targa trades at a reasonable valuation relative to its earnings growth trajectory. ROE of 70.84% reflects exceptional capital efficiency. The 25% dividend increase to $5.00 annualized underscores management confidence in sustainable cash flow generation. The Inspire score of 41 (ALIGNED) with 8 positive attributions makes Targa suitable for faith-based portfolios [4].</w:t>
      </w:r>
    </w:p>
    <w:p>
      <w:pPr>
        <w:spacing w:after="120"/>
      </w:pPr>
      <w:r>
        <w:rPr>
          <w:rFonts w:ascii="Calibri" w:hAnsi="Calibri"/>
          <w:b w:val="0"/>
          <w:color w:val="3A4A28"/>
          <w:sz w:val="20"/>
        </w:rPr>
        <w:t>The primary concern is Targa's elevated leverage — a debt-to-equity ratio of 515.79% and $16B+ in total debt creates vulnerability to interest rate shocks and capital market disruptions, even though the predictable fee-based cash flows support the debt load [5]. Revenue growth of only 4.2% YoY masks the fact that EBITDA and earnings growth are primarily driven by new project completions and operating leverage rather than organic throughput expansion. The $4.5B net growth capex program requires continued Permian production growth — any slowdown in E&amp;P activity due to commodity price weakness or regulatory changes could leave Targa with underutilized capacity. Forward P/E of 24.19x has expanded from prior periods, reflecting a premium re-rating that leaves limited margin of safety if execution disappoints. Q2 2026 EPS of $3.56 versus Q2 2025's $2.89 shows strong execution, but the trailing P/E of 27.93x prices in continued acceleration [5]. Environmental regulatory risk from methane emissions rules and potential carbon pricing could increase operating costs, though the AGI technology positions Targa well for stricter emissions regimes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construction driving incremental natural gas demand, with Targa positioned as a primary midstream beneficiary of electrification and gas-fired power generation growth — the 'midstream powerhouse powering the AI infrastructure boom' [3]</w:t>
      </w:r>
    </w:p>
    <w:p>
      <w:pPr>
        <w:spacing w:before="40" w:after="40"/>
        <w:ind w:left="283"/>
      </w:pPr>
      <w:r>
        <w:rPr>
          <w:rFonts w:ascii="Calibri" w:hAnsi="Calibri"/>
          <w:b/>
          <w:color w:val="4A6B25"/>
          <w:sz w:val="20"/>
        </w:rPr>
        <w:t xml:space="preserve">2. </w:t>
      </w:r>
      <w:r>
        <w:rPr>
          <w:rFonts w:ascii="Calibri" w:hAnsi="Calibri"/>
          <w:b w:val="0"/>
          <w:color w:val="3A4A28"/>
          <w:sz w:val="20"/>
        </w:rPr>
        <w:t>Completion of Permian Basin expansion projects in 2026-2027 contributing incremental EBITDA from $4.5B net growth capex deployment, with management raising 2026 EBITDA guidance to $5.4-5.6B [2]</w:t>
      </w:r>
    </w:p>
    <w:p>
      <w:pPr>
        <w:spacing w:before="40" w:after="40"/>
        <w:ind w:left="283"/>
      </w:pPr>
      <w:r>
        <w:rPr>
          <w:rFonts w:ascii="Calibri" w:hAnsi="Calibri"/>
          <w:b/>
          <w:color w:val="4A6B25"/>
          <w:sz w:val="20"/>
        </w:rPr>
        <w:t xml:space="preserve">3. </w:t>
      </w:r>
      <w:r>
        <w:rPr>
          <w:rFonts w:ascii="Calibri" w:hAnsi="Calibri"/>
          <w:b w:val="0"/>
          <w:color w:val="3A4A28"/>
          <w:sz w:val="20"/>
        </w:rPr>
        <w:t>Continued capital return acceleration with 25% dividend increase to $5.00 annualized and ongoing share buyback program funded by growing free cash flow and record quarterly earnings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Debt-to-equity of 515.79% and $16B+ in total debt create significant leverage risk — rising interest rates or credit tightening could pressure cash flow available for growth capex and dividends [5]</w:t>
      </w:r>
    </w:p>
    <w:p>
      <w:pPr>
        <w:spacing w:before="40" w:after="40"/>
        <w:ind w:left="283"/>
      </w:pPr>
      <w:r>
        <w:rPr>
          <w:rFonts w:ascii="Calibri" w:hAnsi="Calibri"/>
          <w:b/>
          <w:color w:val="4A6B25"/>
          <w:sz w:val="20"/>
        </w:rPr>
        <w:t xml:space="preserve">2. </w:t>
      </w:r>
      <w:r>
        <w:rPr>
          <w:rFonts w:ascii="Calibri" w:hAnsi="Calibri"/>
          <w:b w:val="0"/>
          <w:color w:val="3A4A28"/>
          <w:sz w:val="20"/>
        </w:rPr>
        <w:t>Forward P/E of 24.19x reflects premium re-rating; any shortfall in Permian Basin production growth or new project ramp-ups could trigger multiple compression from elevated valuation levels [5]</w:t>
      </w:r>
    </w:p>
    <w:p>
      <w:pPr>
        <w:spacing w:before="40" w:after="40"/>
        <w:ind w:left="283"/>
      </w:pPr>
      <w:r>
        <w:rPr>
          <w:rFonts w:ascii="Calibri" w:hAnsi="Calibri"/>
          <w:b/>
          <w:color w:val="4A6B25"/>
          <w:sz w:val="20"/>
        </w:rPr>
        <w:t xml:space="preserve">3. </w:t>
      </w:r>
      <w:r>
        <w:rPr>
          <w:rFonts w:ascii="Calibri" w:hAnsi="Calibri"/>
          <w:b w:val="0"/>
          <w:color w:val="3A4A28"/>
          <w:sz w:val="20"/>
        </w:rPr>
        <w:t>Regulatory and environmental risks from methane emissions regulations and potential carbon pricing policies could increase operating costs, though AGI technology provides some mitigation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Targa's core business — gathering, processing, and transporting natural gas and NGLs through 45,000 miles of physical pipeline infrastructure and 43 processing plants — is structurally immune to AI disruption [1]. AI cannot substitute for physical pipelines, fractionation facilities, and processing infrastructure. The business requires enormous capital investment, decades-long contractual relationships, and regulatory permits that create insurmountable barriers to AI displacement. Moreover, the AI infrastructure boom is a direct tailwind — surging data center construction is driving incremental natural gas demand for power generation, positioning Targa as a primary midstream beneficiary of AI adoption [3]. Over 90% fee-based revenue provides earnings stability regardless of commodity price fluctuations [2]. AI Opportunity (1/1): Targa actively deploys AI-driven digital twins across its processing facilities for real-time optimization, predictive maintenance, and emissions monitoring, generating measurable improvements in operational efficiency [3]. The AGI technology represents additional innovation in gas processing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Targa Resources FY2025 Full-Year Results — Record Adjusted EBITDA $4.96B (up 20%), Net Income $1.85B (up 46%), Q4 EBITDA $1.341B, February 2026</w:t>
      </w:r>
    </w:p>
    <w:p>
      <w:pPr>
        <w:spacing w:before="20" w:after="20"/>
        <w:ind w:left="170"/>
      </w:pPr>
      <w:r>
        <w:rPr>
          <w:rFonts w:ascii="Calibri" w:hAnsi="Calibri"/>
          <w:b/>
          <w:color w:val="4A6B25"/>
          <w:sz w:val="15"/>
        </w:rPr>
        <w:t xml:space="preserve">2. </w:t>
      </w:r>
      <w:r>
        <w:rPr>
          <w:rFonts w:ascii="Calibri" w:hAnsi="Calibri"/>
          <w:b w:val="0"/>
          <w:color w:val="3A4A28"/>
          <w:sz w:val="17"/>
        </w:rPr>
        <w:t>Targa Resources Q1 and Q2 2026 Results — Q1 Net Income $480M (up 141%), Q2 EPS $3.56, Revenue $4.44B (up 4.2%), Increased 2026 EBITDA Guidance $5.4-5.6B, April-July 2026</w:t>
      </w:r>
    </w:p>
    <w:p>
      <w:pPr>
        <w:spacing w:before="20" w:after="20"/>
        <w:ind w:left="170"/>
      </w:pPr>
      <w:r>
        <w:rPr>
          <w:rFonts w:ascii="Calibri" w:hAnsi="Calibri"/>
          <w:b/>
          <w:color w:val="4A6B25"/>
          <w:sz w:val="15"/>
        </w:rPr>
        <w:t xml:space="preserve">3. </w:t>
      </w:r>
      <w:r>
        <w:rPr>
          <w:rFonts w:ascii="Calibri" w:hAnsi="Calibri"/>
          <w:b w:val="0"/>
          <w:color w:val="3A4A28"/>
          <w:sz w:val="17"/>
        </w:rPr>
        <w:t>Targa Resources Innovation and AI Strategy — Digital twins for plant optimization, Driver AGI #1 well sequestering 950 MT/day CO2/H2S, 'Midstream Powerhouse Powering AI Boom' analysis, FinancialContent/mymotherlode, 2025-2026</w:t>
      </w:r>
    </w:p>
    <w:p>
      <w:pPr>
        <w:spacing w:before="20" w:after="20"/>
        <w:ind w:left="170"/>
      </w:pPr>
      <w:r>
        <w:rPr>
          <w:rFonts w:ascii="Calibri" w:hAnsi="Calibri"/>
          <w:b/>
          <w:color w:val="4A6B25"/>
          <w:sz w:val="15"/>
        </w:rPr>
        <w:t xml:space="preserve">4. </w:t>
      </w:r>
      <w:r>
        <w:rPr>
          <w:rFonts w:ascii="Calibri" w:hAnsi="Calibri"/>
          <w:b w:val="0"/>
          <w:color w:val="3A4A28"/>
          <w:sz w:val="17"/>
        </w:rPr>
        <w:t>Targa Resources Sustainability Report 2025 — SVP Sustainability reporting to CEO, methane intensity reduction, environmental stewardship, targaresources.com, 2025</w:t>
      </w:r>
    </w:p>
    <w:p>
      <w:pPr>
        <w:spacing w:before="20" w:after="20"/>
        <w:ind w:left="170"/>
      </w:pPr>
      <w:r>
        <w:rPr>
          <w:rFonts w:ascii="Calibri" w:hAnsi="Calibri"/>
          <w:b/>
          <w:color w:val="4A6B25"/>
          <w:sz w:val="15"/>
        </w:rPr>
        <w:t xml:space="preserve">5. </w:t>
      </w:r>
      <w:r>
        <w:rPr>
          <w:rFonts w:ascii="Calibri" w:hAnsi="Calibri"/>
          <w:b w:val="0"/>
          <w:color w:val="3A4A28"/>
          <w:sz w:val="17"/>
        </w:rPr>
        <w:t>Yahoo Finance — TRGP Key Statistics: Forward P/E 24.19x, PEG 1.25, ROE 70.84%, D/E 515.79%, Profit Margin 13.55%, Stock Price $292.19,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