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TRI</w:t>
      </w:r>
      <w:r>
        <w:rPr>
          <w:rFonts w:ascii="Calibri" w:hAnsi="Calibri"/>
          <w:b/>
          <w:color w:val="1A2010"/>
          <w:sz w:val="40"/>
        </w:rPr>
        <w:t xml:space="preserve">  Thomson Reuters Corporation</w:t>
      </w:r>
    </w:p>
    <w:p>
      <w:pPr>
        <w:spacing w:after="120"/>
      </w:pPr>
      <w:r>
        <w:rPr>
          <w:rFonts w:ascii="Calibri" w:hAnsi="Calibri"/>
          <w:b/>
          <w:color w:val="6E8450"/>
          <w:sz w:val="18"/>
        </w:rPr>
        <w:t>DIVIDEND SLEEVE · 2026-09-07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Specialty Business Services · NASDAQ · Canada</w:t>
      </w:r>
    </w:p>
    <w:p>
      <w:pPr>
        <w:spacing w:after="80"/>
      </w:pPr>
      <w:r>
        <w:rPr>
          <w:rFonts w:ascii="Calibri" w:hAnsi="Calibri"/>
          <w:b w:val="0"/>
          <w:color w:val="3A4A28"/>
          <w:sz w:val="20"/>
        </w:rPr>
        <w:t>Thomson Reuters Corporation is a global content and technology company providing news, information, and AI-powered software solutions to legal, tax, accounting, compliance, and government professionals. The company operates through Legal Professionals, Corporates, Tax &amp; Accounting Professionals, Reuters News, and Global Print segments, with approximately 85% recurring revenue. Sold 51% of Global Print to KKR for ~$500M in 2026 to sharpen AI focus. CoCounsel AI legal assistant surpassed 1M users. Proprietary LLM launched for professional work. The Woodbridge Company (Thomson family) holds ~67% controlling interest. Q2 2026 revenue $1,954M (+9% YoY). Market cap ~$47.7B.</w:t>
      </w:r>
    </w:p>
    <w:p>
      <w:r>
        <w:rPr>
          <w:rFonts w:ascii="Calibri" w:hAnsi="Calibri"/>
          <w:b/>
          <w:color w:val="6E8450"/>
          <w:sz w:val="18"/>
        </w:rPr>
        <w:t>26,500 Employees · https://www.thomsonreuters.com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Thomson Reuters acquired CaseText (~$650M, 2023) and Pagero (~$800M, 2024) to build AI-first legal research and e-invoicing capabilities, sold 51% of Global Print to KKR for ~$500M to sharpen focus on AI-powered solutions, and launched a proprietary large language model for professional work [1][3]. CoCounsel AI legal assistant surpassed 1 million users, and the next-gen CoCounsel Legal entered early access [2]. Multiple successful transformations but not a complete company reinvention at NVDA scale. AI Deployment (2/2): CoCounsel AI legal assistant is shipping to 1M+ users with Fiduciary-Grade AI standard, powered by a proprietary LLM plus partnerships with Anthropic, OpenAI, Microsoft, AWS, and Google [2]. Named by Forbes as a 'Gen AI Powerhouse' and the 'professional AI market has a clear leader' by Thomson Reuters Institute. AI features are embedded across Westlaw, ONESOURCE tax, and regulatory compliance products. Market Share (2/2): Westlaw is the dominant global legal research platform, ONESOURCE leads in corporate tax software, and the Big 3 segments grew 10% organically in Q2 2026, comprising 83% of total revenues — #1 or #2 share in each core vertical [1]. Product Pipeline (1/2): Next-gen CoCounsel Legal in early access, proprietary LLM expansion, agentic AI assistants in development, but specific product launch dates beyond the current fiscal year are not publicly committed [2]. R&amp;D Intensity (1/1): $500M+ cumulative AI investment plus multi-billion acquisition spend on AI capabilities exceeds professional services peers; building proprietary LLM represents significant above-industry R&amp;D commitment [2][3].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Thomson Reuters' purpose — 'to inform the way forward' — is specific and thoughtful, connecting information services to enabling better decisions by professionals in law, tax, and compliance [3]. The purpose differentiates from generic statements and clearly shapes product strategy. Under CEO Hasker, it has been sharpened around AI-powered trust infrastructure for professional work. The purpose traces to Reuters' founding in 1851, demonstrating multi-generational consistency. Community Impact (1/2): Thomson Reuters Foundation operates independently with programs focused on media freedom, access to justice, and inclusive economies. The company publishes comprehensive ESG reporting — above-average but not distinctive-at-scale philanthropy with specific dollar commitments [4]. Employee Retention (0/2): Glassdoor reviews indicate mixed culture with annual layoffs cited as a recurring concern, organizational silos between segments limiting cross-collaboration, and no specific voluntary turnover or average tenure data disclosed [3]. Insider Buying (0/2): The Woodbridge Company (Thomson family) maintains ~67% controlling stake, but net insider selling dominates — C$16.8M sold versus only C$96.7K bought in the last 24 months [5]. No meaningful net insider buying by executives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Q2 2026 delivered $1,954M revenue (+9% YoY) with adjusted EBITDA of $745M (38.1% margin), operating profit of $558M (+28%), and diluted EPS of $1.02 (+48%) [1]. FY2026 outlook raised to ~8% total and organic revenue growth with Big 3 segments expected at 9.5-10% [1]. D/E of 29% is well below the 70% target, scoring 1.0 [5]. ROE of 14.17% falls slightly below the 15% target (scoring 0.95) but is improving versus 12.7% previously [5]. Forward P/E of 23.20 is above the 20x target (scoring 0.92) at the elevated $105.68 stock price [5]. Profit margin of 21.22% exceeds the 20% target, scoring 1.0 [5]. The dividend profile is exceptional — 33 consecutive years of increases at an 8.58% 5-year CAGR with 2.57% yield score perfectly on consecutive years paid (2x weight) and dividend growth (2x weight) [5]. Payout ratio of approximately 75% is the primary drag, scoring 0.42 against the 40% target. 5-year revenue CAGR of ~5% reflects the mature growth profile before recent AI-driven acceleration, scoring 0.67. Liquidity floor cleared: avg daily volume 2.53M × $105.68 = ~$267.4M.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Thomson Reuters under CEO Steve Hasker demonstrates strong infinite game qualities — the company has invested $500M+ in AI transformation, sold legacy print business to KKR to sharpen AI focus, built a proprietary LLM, and maintained a 33-year dividend growth streak through multiple economic cycles. The Woodbridge Company (Thomson family) ~67% controlling stake provides multi-generational patient capital unique among public companies. The CoCounsel 1M+ user milestone and proprietary LLM launch validate a purposeful transformation from information services company to AI-powered professional tools platform. However, annual layoff cycles and organizational silos temper the infinite game assessment.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Thomson Reuters' purpose of 'informing the way forward' connects its information services business to enabling better professional decisions in law, tax, and compliance, with roots tracing to Reuters' founding in 1851 and Thomson Corporation in 1934 [3]. Under Hasker, the purpose has been sharpened around AI-enabled trust infrastructure, validated by the proprietary LLM launch and 1M+ CoCounsel users [2]. Strategic decisions — selling Refinitiv, selling Print to KKR, acquiring CaseText, building proprietary AI models — trace back to this purpose. The Thomson family's 67% controlling stake ensures multi-generational continuity. Not yet at the existential-crisis-validated level that earns a 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Hasker's leadership since 2020 has been stable, with early executive perk cuts setting a humble-leadership tone, and the company ran an enterprise-wide AI learning day to upskill 26,500 employees rather than deploying AI through fear-based restructuring [3]. Q2 2026 results with raised guidance and 48% EPS growth demonstrate cohesive execution. However, Glassdoor reviews cite annual layoffs as part of the culture, organizational silos between segments hindering cross-collaboration, and a general sense that trust varies by team [3]. Adequate but not exceptional.</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Thomson Reuters competes primarily with RELX (LexisNexis) and Wolters Kluwer, and management's 'build, partner, buy' AI strategy is explicitly framed as a response to how LLMs are transforming professional information access [2]. CEO Hasker's decision to partner with every leading AI lab — Anthropic, OpenAI, Microsoft, AWS, Google — while simultaneously building a proprietary LLM reflects using rivals' strengths to clarify its own differentiated path. The partnership approach acknowledges competitors' capabilities rather than dismissing them.</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Thomson Reuters has fundamentally reinvented itself twice — selling 55% of its Financial &amp; Risk business to Refinitiv/Blackstone for $17B in 2018, reshaping from a diversified media conglomerate into a focused professional information services company, and now selling Global Print to KKR while building a proprietary LLM and achieving 1M+ CoCounsel AI users, transforming from a traditional content company into an AI-powered professional tools platform [1][2]. The current transformation is driven by the 'inform the way forward' purpose — AI-powered trust infrastructure serves professionals better than static content — making this a purpose-driven pivot rather than financial engineering.</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Hasker committed $500M+ to AI product development, invested billions in acquisitions (CaseText, Pagero), built a proprietary LLM, sold Global Print to KKR, and maintained 10% annual dividend increases all simultaneously [1][2]. The willingness to invest heavily in AI while divesting legacy businesses demonstrates conviction in the long-term strategy. However, these bets are made from a position of exceptional financial strength ($2.1B annual FCF) with the Thomson family providing patient capital backing through the 67% Woodbridge stake, reducing the relative courage required compared to companies taking similar risks without a safety net.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Thomson Reuters delivered strong Q2 2026 results with revenue of $1,954M (+9% YoY), adjusted EBITDA of $745M (38.1% margin), and diluted EPS of $1.02 (+48%), raising full-year guidance to ~8% organic growth with Big 3 segments targeting 9.5-10% [1]. The AI transformation is validated — CoCounsel surpassed 1 million users, a proprietary LLM launched for professional work, and next-gen CoCounsel Legal entered early access, with partnerships spanning Anthropic, OpenAI, Microsoft, AWS, and Google [2]. The sale of 51% of Global Print to KKR for ~$500M sharpens the AI focus. With a 33-year consecutive dividend increase streak ($2.72 annualized, 2.57% yield, 8.58% 5-year CAGR), conservative D/E of 29%, and dominant market share in legal and tax professional services, Thomson Reuters offers a compelling combination of income growth visibility and AI-driven business transformation. The Woodbridge Company (Thomson family) ~67% controlling stake provides multi-generational patient capital unique among public companies. Inspire Impact Score of -49 (MISALIGNED) may limit allocation for faith-based investors.</w:t>
      </w:r>
    </w:p>
    <w:p>
      <w:pPr>
        <w:spacing w:after="120"/>
      </w:pPr>
      <w:r>
        <w:rPr>
          <w:rFonts w:ascii="Calibri" w:hAnsi="Calibri"/>
          <w:b w:val="0"/>
          <w:color w:val="3A4A28"/>
          <w:sz w:val="20"/>
        </w:rPr>
        <w:t>At 29x trailing earnings and Forward P/E of 23.2 ($105.68 stock price, up 26% from July), Thomson Reuters trades at a meaningful premium for a company with only 5% 5-year revenue CAGR and 14.17% ROE — the AI-driven growth acceleration to 8-9% organic is encouraging but has not yet proven sustainable across economic cycles [5]. The elevated payout ratio of ~75% limits capital allocation flexibility between dividends, buybacks, and M&amp;A at a time when AI investment demands significant ongoing spending. While the CoCounsel AI strategy differentiates from competitors, RELX (LexisNexis) and Wolters Kluwer are making parallel AI investments, and AI-native legal-tech competitors (Harvey, Hebbia) target the Westlaw workflow layer [2]. CEO Hasker himself has publicly framed the 'expensive content retaining value' question as the central strategic challenge, acknowledging the medium-term risk from generalist AI platforms commoditizing basic professional research. The Inspire Impact Score of -49 (MISALIGNED) due to the LGBT Activism negative attribution creates allocation constraints for faith-based investors despite the strong operational profile.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CoCounsel AI surpassing 1M users with next-gen version in early access and a proprietary LLM launching could drive organic growth acceleration from historical 5-6% toward sustained 8-10%, with AI-enabled products becoming a growing share of annualized contract value [1][2]</w:t>
      </w:r>
    </w:p>
    <w:p>
      <w:pPr>
        <w:spacing w:before="40" w:after="40"/>
        <w:ind w:left="283"/>
      </w:pPr>
      <w:r>
        <w:rPr>
          <w:rFonts w:ascii="Calibri" w:hAnsi="Calibri"/>
          <w:b/>
          <w:color w:val="4A6B25"/>
          <w:sz w:val="20"/>
        </w:rPr>
        <w:t xml:space="preserve">2. </w:t>
      </w:r>
      <w:r>
        <w:rPr>
          <w:rFonts w:ascii="Calibri" w:hAnsi="Calibri"/>
          <w:b w:val="0"/>
          <w:color w:val="3A4A28"/>
          <w:sz w:val="20"/>
        </w:rPr>
        <w:t>Big 3 segment growth raised to 9.5-10% guidance for FY2026 — Legal, Corporates, and Tax/Accounting all accelerating — demonstrates AI-enhanced workflow value proposition gaining traction in enterprise budgets [1]</w:t>
      </w:r>
    </w:p>
    <w:p>
      <w:pPr>
        <w:spacing w:before="40" w:after="40"/>
        <w:ind w:left="283"/>
      </w:pPr>
      <w:r>
        <w:rPr>
          <w:rFonts w:ascii="Calibri" w:hAnsi="Calibri"/>
          <w:b/>
          <w:color w:val="4A6B25"/>
          <w:sz w:val="20"/>
        </w:rPr>
        <w:t xml:space="preserve">3. </w:t>
      </w:r>
      <w:r>
        <w:rPr>
          <w:rFonts w:ascii="Calibri" w:hAnsi="Calibri"/>
          <w:b w:val="0"/>
          <w:color w:val="3A4A28"/>
          <w:sz w:val="20"/>
        </w:rPr>
        <w:t>Global Print sale to KKR (~$500M) and continued ~$2.1B annual free cash flow generation support the 34th consecutive annual dividend increase alongside share repurchases and bolt-on AI acquisitions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Payout ratio of ~75% is elevated and could constrain the company's ability to simultaneously fund AI investment, dividend growth, and share buybacks if organic growth decelerates below the 8% guidance level [5]</w:t>
      </w:r>
    </w:p>
    <w:p>
      <w:pPr>
        <w:spacing w:before="40" w:after="40"/>
        <w:ind w:left="283"/>
      </w:pPr>
      <w:r>
        <w:rPr>
          <w:rFonts w:ascii="Calibri" w:hAnsi="Calibri"/>
          <w:b/>
          <w:color w:val="4A6B25"/>
          <w:sz w:val="20"/>
        </w:rPr>
        <w:t xml:space="preserve">2. </w:t>
      </w:r>
      <w:r>
        <w:rPr>
          <w:rFonts w:ascii="Calibri" w:hAnsi="Calibri"/>
          <w:b w:val="0"/>
          <w:color w:val="3A4A28"/>
          <w:sz w:val="20"/>
        </w:rPr>
        <w:t>AI-native legal-tech competitors (Harvey, Hebbia) and generalist AI platforms (OpenAI, Google Gemini) could commoditize basic legal research functions, pressuring Westlaw's entry-level product tier and forcing pricing concessions [2]</w:t>
      </w:r>
    </w:p>
    <w:p>
      <w:pPr>
        <w:spacing w:before="40" w:after="40"/>
        <w:ind w:left="283"/>
      </w:pPr>
      <w:r>
        <w:rPr>
          <w:rFonts w:ascii="Calibri" w:hAnsi="Calibri"/>
          <w:b/>
          <w:color w:val="4A6B25"/>
          <w:sz w:val="20"/>
        </w:rPr>
        <w:t xml:space="preserve">3. </w:t>
      </w:r>
      <w:r>
        <w:rPr>
          <w:rFonts w:ascii="Calibri" w:hAnsi="Calibri"/>
          <w:b w:val="0"/>
          <w:color w:val="3A4A28"/>
          <w:sz w:val="20"/>
        </w:rPr>
        <w:t>Forward P/E of 23.2 on a 5% 5-year revenue CAGR embeds significant AI growth premium — if the AI-driven revenue acceleration proves temporary or competition intensifies, multiple compression from the elevated valuation could produce meaningful downside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Thomson Reuters' core business is structurally protected from AI disruption — proprietary, curated legal and regulatory content (Westlaw, Practical Law, Checkpoint) requires editorial accuracy, citation authority, and regulatory compliance that generalist AI models cannot replicate [1][2]. Legal and tax professionals require authoritative, citable sources with guaranteed accuracy, and the company's deep workflow integration creates prohibitive switching costs. CEO Hasker has explicitly framed the 'expensive content retaining value' question as the core strategic challenge, and the launch of a proprietary LLM with Fiduciary-Grade AI standard directly addresses this [2]. The 1M+ CoCounsel users validate that professionals prefer AI built on trusted content rather than general-purpose models. However, AI-native legal-tech competitors (Harvey, Hebbia) and generalist platforms (OpenAI, Google) could commoditize basic legal research at the entry-level product tier. AI Opportunity (1/1): CoCounsel AI legal assistant with 1M+ users generates revenue and drives product differentiation. The proprietary LLM, partnerships with every leading AI lab (Anthropic, OpenAI, Microsoft, AWS, Google), and AI features embedded across the Big 3 segments contribute to 10% organic growth in Q2 2026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Thomson Reuters Q2 2026 Earnings Release — $1,954M Revenue (+9%), Big 3 Organic Growth 10%, Adjusted EBITDA $745M (38.1% Margin), EPS $1.02 (+48%), Guidance Raised to ~8% Organic Growth, Global Print Sale to KKR ~$500M, August 2026</w:t>
      </w:r>
    </w:p>
    <w:p>
      <w:pPr>
        <w:spacing w:before="20" w:after="20"/>
        <w:ind w:left="170"/>
      </w:pPr>
      <w:r>
        <w:rPr>
          <w:rFonts w:ascii="Calibri" w:hAnsi="Calibri"/>
          <w:b/>
          <w:color w:val="4A6B25"/>
          <w:sz w:val="15"/>
        </w:rPr>
        <w:t xml:space="preserve">2. </w:t>
      </w:r>
      <w:r>
        <w:rPr>
          <w:rFonts w:ascii="Calibri" w:hAnsi="Calibri"/>
          <w:b w:val="0"/>
          <w:color w:val="3A4A28"/>
          <w:sz w:val="17"/>
        </w:rPr>
        <w:t>Thomson Reuters AI Innovation Strategy — CoCounsel 1M+ Users, Proprietary LLM Launch, Next-Gen CoCounsel Legal, Anthropic/OpenAI/Microsoft/AWS/Google Partnerships, Forbes 'Gen AI Powerhouse', 2025-2026</w:t>
      </w:r>
    </w:p>
    <w:p>
      <w:pPr>
        <w:spacing w:before="20" w:after="20"/>
        <w:ind w:left="170"/>
      </w:pPr>
      <w:r>
        <w:rPr>
          <w:rFonts w:ascii="Calibri" w:hAnsi="Calibri"/>
          <w:b/>
          <w:color w:val="4A6B25"/>
          <w:sz w:val="15"/>
        </w:rPr>
        <w:t xml:space="preserve">3. </w:t>
      </w:r>
      <w:r>
        <w:rPr>
          <w:rFonts w:ascii="Calibri" w:hAnsi="Calibri"/>
          <w:b w:val="0"/>
          <w:color w:val="3A4A28"/>
          <w:sz w:val="17"/>
        </w:rPr>
        <w:t>Thomson Reuters Corporate — CEO Steve Hasker, 'Inform the Way Forward' Purpose, Thomson Family 67% Woodbridge Stake, Glassdoor Employee Reviews, Thomson Reuters Foundation, 2025-2026</w:t>
      </w:r>
    </w:p>
    <w:p>
      <w:pPr>
        <w:spacing w:before="20" w:after="20"/>
        <w:ind w:left="170"/>
      </w:pPr>
      <w:r>
        <w:rPr>
          <w:rFonts w:ascii="Calibri" w:hAnsi="Calibri"/>
          <w:b/>
          <w:color w:val="4A6B25"/>
          <w:sz w:val="15"/>
        </w:rPr>
        <w:t xml:space="preserve">4. </w:t>
      </w:r>
      <w:r>
        <w:rPr>
          <w:rFonts w:ascii="Calibri" w:hAnsi="Calibri"/>
          <w:b w:val="0"/>
          <w:color w:val="3A4A28"/>
          <w:sz w:val="17"/>
        </w:rPr>
        <w:t>Thomson Reuters ESG and Foundation — Social Impact and ESG Report, Media Freedom, Access to Justice, Inclusive Economies Programs, thomsonreuters.com, 2022-2026</w:t>
      </w:r>
    </w:p>
    <w:p>
      <w:pPr>
        <w:spacing w:before="20" w:after="20"/>
        <w:ind w:left="170"/>
      </w:pPr>
      <w:r>
        <w:rPr>
          <w:rFonts w:ascii="Calibri" w:hAnsi="Calibri"/>
          <w:b/>
          <w:color w:val="4A6B25"/>
          <w:sz w:val="15"/>
        </w:rPr>
        <w:t xml:space="preserve">5. </w:t>
      </w:r>
      <w:r>
        <w:rPr>
          <w:rFonts w:ascii="Calibri" w:hAnsi="Calibri"/>
          <w:b w:val="0"/>
          <w:color w:val="3A4A28"/>
          <w:sz w:val="17"/>
        </w:rPr>
        <w:t>StockAnalysis, Yahoo Finance, GuruFocus — TRI: $105.68 Price, Forward P/E 23.20, D/E 29%, ROE 14.17%, Profit Margin 21.22%, Yield 2.57%, Avg Volume 2.53M,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