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TRMB</w:t>
      </w:r>
      <w:r>
        <w:rPr>
          <w:rFonts w:ascii="Calibri" w:hAnsi="Calibri"/>
          <w:b/>
          <w:color w:val="1A2010"/>
          <w:sz w:val="40"/>
        </w:rPr>
        <w:t xml:space="preserve">  Trimble Inc.</w:t>
      </w:r>
    </w:p>
    <w:p>
      <w:pPr>
        <w:spacing w:after="120"/>
      </w:pPr>
      <w:r>
        <w:rPr>
          <w:rFonts w:ascii="Calibri" w:hAnsi="Calibri"/>
          <w:b/>
          <w:color w:val="6E8450"/>
          <w:sz w:val="18"/>
        </w:rPr>
        <w:t>GROWTH SLEEVE · 2026-09-12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Trimble provides technology solutions that transform how construction, agriculture, geospatial, and transportation industries work. The company has evolved from a hardware-centric GPS and surveying equipment maker into a cloud-native software platform company, with annualized recurring revenue (ARR) reaching a record $2.509B (+12% YoY) in Q2 2026. Q2 2026 revenue was $972M (+11% YoY) with 71% gross margins and 28.6% adjusted EBITDA margin. Full-year 2026 guidance was raised to $3.9-3.95B revenue with $3.60-$3.70 non-GAAP EPS and 29.4-30% EBITDA margin. The company divested its transportation business to focus on core construction and geospatial verticals.</w:t>
      </w:r>
    </w:p>
    <w:p>
      <w:r>
        <w:rPr>
          <w:rFonts w:ascii="Calibri" w:hAnsi="Calibri"/>
          <w:b/>
          <w:color w:val="6E8450"/>
          <w:sz w:val="18"/>
        </w:rPr>
        <w:t>12,000 Employees · https://www.trimble.com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Trimble has executed a significant business model transformation over the past 5 years — pivoting from hardware-centric GPS/surveying equipment to a cloud-native subscription platform, growing ARR from ~$1.7B in 2023 to a record $2.509B in Q2 2026 (+47% in 3 years) [1][2]. The divestiture of the transportation and mobility business represents a strategic pivot to focus resources on higher-growth construction and geospatial verticals. These moves fundamentally reshaped the company's revenue model and strategic positioning. AI Deployment (1/2): Trimble is embedding AI capabilities across its construction technology platform — autonomous machine control, AI-driven construction planning, and digital twin workflows [3]. Employee reviews indicate the CPO is actively pursuing AI-driven cost efficiencies, though specific revenue or savings figures have not been separately quantified. AI features are shipping within existing products rather than as standalone AI offerings. Market Share (1/2): Trimble holds strong positions in construction machine control, GNSS surveying, and geospatial data management, competing effectively against Hexagon/Leica and Topcon [1]. The company is a meaningful player in construction technology but the market remains fragmented with multiple credible competitors including Procore, Autodesk, and Bentley Systems on the software side. Product Pipeline (1/2): The ARR trajectory (+12% YoY) and cloud platform expansion provide strong forward revenue visibility. Trimble Connect and Trimble Construction One platforms are being rolled out across the construction value chain, but specific next-generation products with named launch dates have not been publicly disclosed [1]. R&amp;D Intensity (1/1): Trimble invests approximately 14-15% of revenue in R&amp;D, placing it in the top quartile for its peer group of industrial technology companies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Trimble's purpose — 'Transforming the Way the World Works' — is specific, thoughtful, and connects the company's technology to a larger purpose of making physical-world industries (construction, agriculture, transportation) more productive, safer, and more sustainable [4]. The mission has been consistent through multiple strategic transformations and reflects genuine intentionality about using technology to solve real-world problems. Leadership has referenced this purpose in strategic decisions, including the portfolio reshaping to focus on construction and geospatial verticals. Community Impact (0/2): Trimble has established science-based emissions targets and good ESG governance practices, but no specific dollar amounts for charitable giving, community investment programs, or foundation activity were identified in the research [4]. Employee Retention (0/2): Glassdoor reviews are notably mixed — some employees praise the innovation culture and hackathons, while others cite severe leadership instability (four managers in under a year), a 'sink or swim' onboarding culture, and concerns about AI replacing human roles [3]. The contradiction suggests uneven cultural quality across teams. No specific retention or tenure data is publicly available. Insider Buying (0/2): No evidence of meaningful net insider buying by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25% is well below the 70% target (scoring 1.0), reflecting a conservatively leveraged balance sheet post-divestiture [5]. Forward P/E of 14.98 is below the 20x target (scoring 1.0), making Trimble attractively valued relative to its growth profile [5]. Revenue growth YoY of 11% exceeds the 10% target (scoring 1.0). PEG ratio of 1.50 scores 0.75 with 2x weight, reflecting reasonable growth-adjusted valuation. The primary drags are: GAAP ROE of 8.25% (scoring 0.55 with 2x weight), depressed by large non-cash intangible amortization that widens the gap between GAAP EPS (-$0.07 to -$0.12) and non-GAAP EPS ($3.60-$3.70) [1]; GAAP profit margin of 8.02% (scoring 0.40), similarly affected by non-cash charges; and the 5-year revenue CAGR of only ~1.4% (scoring 0.43 with 2x weight), distorted by the divestiture of the transportation business that removed ~$500M in annual revenue from the base. The stock easily clears the liquidity floor with ~$165M+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Trimble demonstrates several infinite game qualities: a consistent purpose ('Transforming the Way the World Works') validated by decades of strategic evolution, courageous portfolio decisions (divesting profitable transportation business, sacrificing near-term hardware revenue for long-term recurring revenue), and meaningful existential flexibility in reinventing from hardware to software [1]. However, mixed employee culture reviews — innovation culture praised alongside leadership instability and 'sink or swim' onboarding — suggest the Circle of Safety is uneven across the organization [3]. The company's competitive posture is more market-share focused than improvement-oriented, and the ongoing transformation creates organizational stress that can manifest as finite-game survival behavior.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'Transforming the Way the World Works' is a genuine, distinctive cause that connects Trimble's technology to making construction, agriculture, and infrastructure management more productive, safer, and sustainable [4]. The purpose has been consistent through multiple strategic transformations — from GPS hardware to construction software to cloud platforms — and strategic decisions clearly trace back to it. The divestiture of transportation was framed as focusing on verticals where Trimble could most transform industry workflows. However, the cause has not yet been fully tested through a crisis that required costly sacrifice, and the ongoing business model transition makes it difficult to distinguish purpose-driven decisions from market-driven opportunism.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Trimble's innovation culture includes hackathons and research projects that foster creativity and provide exposure to cutting-edge fields including AI [3]. Some employees describe an 'excellent' culture and accelerated career development opportunities. However, other reviews cite severe leadership instability (four managers in under a year), a 'sink or swim' onboarding culture, and concerns about the CPO viewing AI as a replacement for human workers. The contradiction suggests the quality of the Circle of Safety varies significantly across teams and locations, falling short of the organization-wide trust that earns full marks.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Trimble's public communications. The company's competitive positioning emphasizes its own platform advantages and market leadership rather than acknowledging competitors' strengths as motivation for self-improvement. The competitive landscape against Hexagon/Leica, Topcon, Procore, and Autodesk is framed in market share and feature comparison terms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Trimble has evolved meaningfully from a hardware GPS/surveying company to a cloud-native construction technology platform, with ARR now exceeding $2.5B and comprising a growing majority of revenue [1]. The divestiture of the transportation business and the pivot to subscription-based software represent genuine strategic flexibility. However, the transformation has been incremental over many years rather than a single bold reinvention — the company still sells hardware alongside software, and the evolution follows broader industry trends toward SaaS rather than being a cause-driven pivot.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Trimble demonstrates a pattern of costly long-term bets. Divesting the transportation and mobility business walked away from ~$500M in annual revenue to focus resources on construction and geospatial where Trimble could build stronger competitive moats [1]. The ARR model transition deliberately sacrificed near-term hardware revenue and perpetual license revenue for long-term recurring subscription revenue — a multi-year earnings dilution for superior business quality. The company maintained R&amp;D investment at ~15% of revenue through the transformation period, choosing future capability over short-term earnings optimization. These represent multiple examples of leadership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Trimble is a high-quality platform company executing a successful transformation from hardware-centric GPS equipment to cloud-native construction technology, with ARR reaching a record $2.509B (+12% YoY) and gross margins expanding to 71% in Q2 2026 [1]. The raised full-year guidance of $3.9-3.95B revenue with 29.4-30% EBITDA margin confirms accelerating organic growth and margin expansion post-divestiture. Forward P/E of 14.98x with a PEG of 1.50 makes Trimble one of the more reasonably valued high-quality tech platforms, especially given the 12% organic revenue growth and improving profitability trajectory toward $3.60-$3.70 non-GAAP EPS [1][5]. D/E of only 25% provides balance sheet flexibility for further strategic investments. AI resilience is strong (8/10) as the business combines physical sensor hardware with AI-enhanced software platforms. The Inspire Impact Score of 67 (ALIGNED) with zero negative attributions makes Trimble particularly attractive for faith-aligned investors.</w:t>
      </w:r>
    </w:p>
    <w:p>
      <w:pPr>
        <w:spacing w:after="120"/>
      </w:pPr>
      <w:r>
        <w:rPr>
          <w:rFonts w:ascii="Calibri" w:hAnsi="Calibri"/>
          <w:b w:val="0"/>
          <w:color w:val="3A4A28"/>
          <w:sz w:val="20"/>
        </w:rPr>
        <w:t>The bear case focuses on GAAP profitability, cultural concerns, and execution risk. Despite strong non-GAAP metrics ($3.60-$3.70 EPS), GAAP guidance shows a loss of $0.07-$0.12 per share due to massive intangible amortization from acquisitions — the gap between GAAP and non-GAAP raises questions about the quality of acquired revenue streams [1]. GAAP ROE of 8.25% and profit margin of 8.02% score poorly in the Infrastructure framework despite the underlying business quality. The 5-year revenue CAGR of only 1.4% reflects the revenue lost through divestitures, obscuring the organic growth story but also demonstrating that Trimble's portfolio reshaping has been a multi-year headwind to total revenue growth. Glassdoor reviews citing leadership instability (four managers in a year), 'sink or swim' onboarding, and CPO sentiment that 'AI can replace' workers suggest cultural stress during the transformation [3]. The stock has declined 21.7% over the past 52 weeks despite solid fundamentals, suggesting market skepticism about the transformation timeline or construction cycle exposure. Competition from Procore, Autodesk, and Hexagon in construction technology creates platform risk as the industry consolidates around integrated solutions.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ARR acceleration toward $3B+ as Trimble Construction One platform gains adoption across the construction value chain — the 12% organic ARR growth demonstrates strong net expansion rates and cross-sell momentum [1]</w:t>
      </w:r>
    </w:p>
    <w:p>
      <w:pPr>
        <w:spacing w:before="40" w:after="40"/>
        <w:ind w:left="283"/>
      </w:pPr>
      <w:r>
        <w:rPr>
          <w:rFonts w:ascii="Calibri" w:hAnsi="Calibri"/>
          <w:b/>
          <w:color w:val="4A6B25"/>
          <w:sz w:val="20"/>
        </w:rPr>
        <w:t xml:space="preserve">2. </w:t>
      </w:r>
      <w:r>
        <w:rPr>
          <w:rFonts w:ascii="Calibri" w:hAnsi="Calibri"/>
          <w:b w:val="0"/>
          <w:color w:val="3A4A28"/>
          <w:sz w:val="20"/>
        </w:rPr>
        <w:t>EBITDA margin expansion from 28.6% toward the 30%+ target as the subscription mix increases and post-divestiture operating leverage kicks in, potentially driving $1.2B+ annual EBITDA by FY2027 [1]</w:t>
      </w:r>
    </w:p>
    <w:p>
      <w:pPr>
        <w:spacing w:before="40" w:after="40"/>
        <w:ind w:left="283"/>
      </w:pPr>
      <w:r>
        <w:rPr>
          <w:rFonts w:ascii="Calibri" w:hAnsi="Calibri"/>
          <w:b/>
          <w:color w:val="4A6B25"/>
          <w:sz w:val="20"/>
        </w:rPr>
        <w:t xml:space="preserve">3. </w:t>
      </w:r>
      <w:r>
        <w:rPr>
          <w:rFonts w:ascii="Calibri" w:hAnsi="Calibri"/>
          <w:b w:val="0"/>
          <w:color w:val="3A4A28"/>
          <w:sz w:val="20"/>
        </w:rPr>
        <w:t>Forward P/E of 14.98x and PEG of 1.50 represent valuation compression that could reverse if the company delivers consistent 10%+ organic growth and GAAP profitability improves as intangible amortization runs off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gap — FY2026 guidance of -$0.07 to -$0.12 GAAP EPS vs. $3.60-$3.70 non-GAAP EPS reflects ~$3.75/share in non-cash adjustments, primarily intangible amortization, that depress GAAP ROE to 8.25% and obscure the underlying business quality [1]</w:t>
      </w:r>
    </w:p>
    <w:p>
      <w:pPr>
        <w:spacing w:before="40" w:after="40"/>
        <w:ind w:left="283"/>
      </w:pPr>
      <w:r>
        <w:rPr>
          <w:rFonts w:ascii="Calibri" w:hAnsi="Calibri"/>
          <w:b/>
          <w:color w:val="4A6B25"/>
          <w:sz w:val="20"/>
        </w:rPr>
        <w:t xml:space="preserve">2. </w:t>
      </w:r>
      <w:r>
        <w:rPr>
          <w:rFonts w:ascii="Calibri" w:hAnsi="Calibri"/>
          <w:b w:val="0"/>
          <w:color w:val="3A4A28"/>
          <w:sz w:val="20"/>
        </w:rPr>
        <w:t>Construction cycle exposure — Trimble's revenue is sensitive to construction activity levels, and elevated interest rates, commercial real estate weakness, or infrastructure spending delays could pressure the 11% organic growth rate [1]</w:t>
      </w:r>
    </w:p>
    <w:p>
      <w:pPr>
        <w:spacing w:before="40" w:after="40"/>
        <w:ind w:left="283"/>
      </w:pPr>
      <w:r>
        <w:rPr>
          <w:rFonts w:ascii="Calibri" w:hAnsi="Calibri"/>
          <w:b/>
          <w:color w:val="4A6B25"/>
          <w:sz w:val="20"/>
        </w:rPr>
        <w:t xml:space="preserve">3. </w:t>
      </w:r>
      <w:r>
        <w:rPr>
          <w:rFonts w:ascii="Calibri" w:hAnsi="Calibri"/>
          <w:b w:val="0"/>
          <w:color w:val="3A4A28"/>
          <w:sz w:val="20"/>
        </w:rPr>
        <w:t>Cultural transformation risk — Glassdoor reviews citing leadership instability, aggressive AI workforce replacement sentiment, and 'sink or swim' onboarding suggest organizational stress that could impair talent retention and execution during the critical ARR scaling phase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Trimble's hardware products — GNSS receivers, total stations, autonomous machine control systems, and precision agriculture sensors — involve physical sensors and calibrated equipment that AI cannot substitute [1]. Construction automation requires physical robots, sensors, and site equipment that must operate in dynamic real-world environments. The regulatory requirements for surveying, land measurement, and infrastructure compliance provide additional moats. However, Trimble's growing software business (construction management, BIM collaboration) faces moderate exposure to AI-native competitors who could build competing cloud platforms with AI-first architectures. The company's existing data advantage from millions of connected job sites mitigates this risk. AI Opportunity (1/1): Trimble generates meaningful AI-embedded revenue through autonomous machine control systems, AI-driven construction planning tools, and precision agriculture automation that optimize machine operations using AI algorithms [2]. While AI revenue is not separately reported, AI capabilities are core to the company's highest-value products and drive premium pricing. The 12% ARR growth is partly attributable to AI-enhanced platform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Trimble Q2 2026 Earnings — Revenue $972M (+11% YoY), Record ARR $2.509B (+12%), EBITDA $278M (28.6% margin), FY2026 Guidance Raised to $3.9-3.95B, August 2026</w:t>
      </w:r>
    </w:p>
    <w:p>
      <w:pPr>
        <w:spacing w:before="20" w:after="20"/>
        <w:ind w:left="170"/>
      </w:pPr>
      <w:r>
        <w:rPr>
          <w:rFonts w:ascii="Calibri" w:hAnsi="Calibri"/>
          <w:b/>
          <w:color w:val="4A6B25"/>
          <w:sz w:val="15"/>
        </w:rPr>
        <w:t xml:space="preserve">2. </w:t>
      </w:r>
      <w:r>
        <w:rPr>
          <w:rFonts w:ascii="Calibri" w:hAnsi="Calibri"/>
          <w:b w:val="0"/>
          <w:color w:val="3A4A28"/>
          <w:sz w:val="17"/>
        </w:rPr>
        <w:t>Trimble Q1 2026 Earnings — Revenue $939.9M (+12% YoY), ARR $2.43B (+12%), Gross Margin 71% (+110bps), EBITDA $257.7M (27.4%), May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 Trimble Rating Mixed, Innovation Culture Praised, Leadership Instability Cited (4 Managers in &lt;1 Year), CPO AI Replacement Concerns,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Trimble ESG &amp; Governance — Science-Based Emissions Targets, 5 Pillar ESG Framework, Nominating Committee ESG Oversight,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Forward P/E 14.98x, PE 28.67x, D/E 25%, ROE 8.25%, PEG 1.50, Profit Margin 8.02%,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