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TROW</w:t>
      </w:r>
      <w:r>
        <w:rPr>
          <w:rFonts w:ascii="Calibri" w:hAnsi="Calibri"/>
          <w:b/>
          <w:color w:val="1A2010"/>
          <w:sz w:val="40"/>
        </w:rPr>
        <w:t xml:space="preserve">  T. Rowe Price Group, Inc.</w:t>
      </w:r>
    </w:p>
    <w:p>
      <w:pPr>
        <w:spacing w:after="120"/>
      </w:pPr>
      <w:r>
        <w:rPr>
          <w:rFonts w:ascii="Calibri" w:hAnsi="Calibri"/>
          <w:b/>
          <w:color w:val="6E8450"/>
          <w:sz w:val="18"/>
        </w:rPr>
        <w:t>DIVIDEND SLEEVE · 2026-09-10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&amp; Custody Banks · NASDAQ · United States</w:t>
      </w:r>
    </w:p>
    <w:p>
      <w:pPr>
        <w:spacing w:after="80"/>
      </w:pPr>
      <w:r>
        <w:rPr>
          <w:rFonts w:ascii="Calibri" w:hAnsi="Calibri"/>
          <w:b w:val="0"/>
          <w:color w:val="3A4A28"/>
          <w:sz w:val="20"/>
        </w:rPr>
        <w:t>T. Rowe Price Group is one of the largest publicly traded global asset management firms, with a record $1.9 trillion in assets under management as of Q2 2026. The firm provides actively managed equity, fixed income, multi-asset, and alternative investment capabilities for individual and institutional investors, with a particular focus on retirement and target-date strategies. Founded in 1937 and headquartered in Baltimore, Maryland, the firm reported Q2 2026 net revenues of $1.91B (+10.7% YoY) and adjusted EPS of $2.57 (+14.7%), though net outflows of $20.2B year-to-date reflect ongoing secular pressure on active management.</w:t>
      </w:r>
    </w:p>
    <w:p>
      <w:r>
        <w:rPr>
          <w:rFonts w:ascii="Calibri" w:hAnsi="Calibri"/>
          <w:b/>
          <w:color w:val="6E8450"/>
          <w:sz w:val="18"/>
        </w:rPr>
        <w:t>7,773 Employees · https://www.troweprice.com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 Rowe Price acquired Oak Hill Advisors (OHA) to enter private credit and alternatives, and has launched ETF vehicles to address the shift toward lower-cost wrappers, representing a meaningful but incremental strategic extension rather than a transformative pivot [1]. The core business model — actively managed mutual funds and retirement strategies — remains fundamentally the same as it was a decade ago. AI Deployment (1/2): In 2026, T. Rowe Price advanced its AI strategy with a dedicated leadership model built to accelerate execution, establishing T. Rowe Price Labs (led by Mathieu Lorentz) as the firm's enterprise AI innovation hub that evaluates emerging technologies, prototypes high-value use cases, and scales secure AI solutions [2]. Focused teams are advancing agentic AI products to help investment professionals sharpen analysis and improve productivity, and broader associate access to AI tools has been deployed. However, no externally shipped AI products or quantified cost savings have been disclosed. Market Share (1/2): T. Rowe Price manages a record $1.9T in AUM (+12.9% YoY), but the growth is driven by market appreciation rather than organic inflows — the firm reported $20.2B in year-to-date net outflows, confirming the secular active-to-passive headwind [1]. Product Pipeline (1/2): Expansion into private credit through OHA, launch of new ETF vehicles, and development of alternatives capabilities provide some pipeline visibility, though these are industry-standard moves rather than differentiated innovations. R&amp;D Intensity (0/1): Technology spending is adequate but average relative to fintech-native competitors, and as a traditional asset manager, R&amp;D intensity is inherently limited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 Rowe Price is 'built on a culture of integrity that puts client interests first' — a clear statement that identifies the company's values (integrity, client-first) but is largely interchangeable with any reputable asset manager's positioning [2]. It does not articulate a distinctive purpose or vision of a better future beyond competent fiduciary stewardship. Community Impact (1/2): T. Rowe Price Foundation and corporate giving programs exist commensurate with its size and Baltimore headquarters presence, though specific dollar amounts and distinctive programs were not identified in current research. Employee Retention (0/2): No specific employee tenure, voluntary turnover, or exceptional culture data was found that distinguishes T. Rowe Price from typical asset management peers. The 7,773-employee workforce is significant but retention metrics are not publicly disclosed. Insider Buying (1/2): A meaningful insider purchase was identified in April 2026 when TROW was trading near $96, suggesting at least one executive saw value at the stock's lows, though broader 12-month insider activity has been minimal with some selling offsetting the purchase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and T. Rowe Price excels on nearly every infrastructure metric. The balance sheet is fortress-grade with D/E of just 4% — exceptional for a financial services firm [4]. ROE of 20.1% exceeds the 15% target, and net margin of 30.65% significantly exceeds the 20% target, reflecting the inherently high-margin asset management business model [4]. Forward P/E of 11.65x is deeply discounted relative to the 20x target, pricing in significant pessimism about active management's future. Q2 2026 net revenues grew 10.7% YoY to $1.91B, driven by record $1.9T AUM (+12.9% YoY), hitting the 10% revenue growth target [1]. The dividend profile is outstanding: 39 consecutive years of increases (Dividend Aristocrat status), ~50% payout ratio, 4.70% current yield, with 5yr dividend growth CAGR of approximately 5% reflecting slower growth during the 2022-2024 AUM decline period [3]. The 5-year revenue CAGR of approximately 3.5% is the primary drag, reflecting the AUM volatility tied to market performance and active-to-passive migration. Weighted sum 11.07/12 rounds to 9. Liquidity comfortably cleared at ~$165M daily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 Rowe Price exhibits a genuinely long-term orientation rooted in founder Thomas Rowe Price Jr.'s growth investing philosophy established in 1937. The company's 39-year consecutive dividend increase streak, commitment to active management through the passive investing revolution, and deliberate expansion into alternatives through OHA demonstrate strategic patience. However, the firm's response to industry disruption has been incremental rather than bold — launching ETFs and adding private credit are industry-standard moves, not courageous bets. The $20.2B in year-to-date net outflows raise questions about whether the infinite game strategy is winning against the finite reality of asset migration.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Thomas Rowe Price Jr. founded the firm in 1937 on the principle of investing for clients' long-term benefit through disciplined growth stock selection — a genuine cause that has guided the company through nearly 90 years and multiple market cycles [3]. The 39-year dividend increase streak and consistent commitment to active management even as trillions flowed to passive funds demonstrate that the purpose shapes behavior. However, the cause has become more generic over time ('client interests first') and doesn't clearly differentiate from what Fidelity, Vanguard, or any reputable asset manager would claim.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 Rowe Price maintains leadership stability with CEO Rob Sharps overseeing a disciplined, professional culture, and the June 2026 expansion of the leadership team suggests organizational development [2]. The Baltimore headquarters contributes to a stable, less transient workforce compared to Wall Street firms, and the establishment of T. Rowe Price Labs with dedicated leadership reflects investment in organizational capability. However, no exceptional trust indicators — extraordinary retention data, employee empowerment programs, or cultural practices — were identified that distinguish T. Rowe Price from typical large asset management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 Rowe Price explicitly acknowledges the competitive pressure from passive investing and uses it as motivation to improve its active management capabilities rather than demonizing index funds. CEO Rob Sharps has stated that 'with the recent volatility and broadening of markets, our active management approach positions us to take advantage of the opportunities this climate brings' — framing competition as context for improvement rather than a war to win [1]. The firm's willingness to launch ETFs and AI tools shows competitive adaptation rather than denial.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OHA acquisition expanded T. Rowe Price into private credit and alternatives, the launch of ETF vehicles acknowledged that the wrapper matters to modern investors, and the AI strategy with T. Rowe Price Labs signals willingness to adopt new technologies [1][2]. These represent meaningful adaptations to industry evolution. However, the core business model — actively managed strategies distributed through institutional relationships — has not fundamentally changed. T. Rowe Price has not yet demonstrated willingness to cannibalize its high-margin active management franchise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 Rowe Price has demonstrated commitment to active management during a decade-long industry shift toward passive investing, maintaining investment in research talent and new strategies even as AUM growth slowed. The OHA acquisition invested significant capital to build alternatives capability, and the 2026 AI strategy advancement shows willingness to invest in emerging capabilities before returns are certain [1][2]. However, maintaining the status quo of active management could also be read as inertia rather than courage — the company has not made any decision that was genuinely costly in the short term to create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 Rowe Price offers a compelling income proposition for dividend-focused investors — a Dividend Aristocrat with 39 consecutive years of increases, 4.70% current yield, and a fortress balance sheet with minimal leverage (D/E of 4%) [3][4]. Q2 2026 delivered record $1.9T AUM (+12.9% YoY) driving net revenues of $1.91B (+10.7%) and adjusted EPS of $2.57 (+14.7%), demonstrating the operating leverage inherent in the asset management model when markets cooperate [1]. The forward P/E of 11.65x represents a historically discounted valuation for a company with 30.65% net margins and 20.1% ROE, pricing in significant pessimism about active management's future. The expansion into private credit and alternatives through OHA diversifies revenue, and the AI strategy advancement with T. Rowe Price Labs positions the firm to enhance investment performance through AI tools [2]. At current prices, the dividend alone provides a 4.7% return floor with continued growth likelihood.</w:t>
      </w:r>
    </w:p>
    <w:p>
      <w:pPr>
        <w:spacing w:after="120"/>
      </w:pPr>
      <w:r>
        <w:rPr>
          <w:rFonts w:ascii="Calibri" w:hAnsi="Calibri"/>
          <w:b w:val="0"/>
          <w:color w:val="3A4A28"/>
          <w:sz w:val="20"/>
        </w:rPr>
        <w:t>The fundamental bear case is secular: active management has lost trillions in assets to passive index funds and ETFs over the past decade, and AI-powered quantitative strategies threaten to accelerate this migration by replicating factor-based active approaches at lower cost [1]. The $20.2B in year-to-date net outflows through Q2 2026 demonstrate that record AUM is market-driven rather than organically earned, creating a fragile revenue base vulnerable to market corrections — a 15-20% equity market decline would compress AUM, fee revenue, and earnings proportionally. The 5-year revenue CAGR of 3.5% and flat EPS trajectory over five years illustrate the drag of this structural shift. Expense guidance raised to 4-7% growth over 2025's $4.6B suggests the firm is spending more to compete while organic growth remains negative, potentially compressing the currently exceptional 30.65% net margin [1]. The Inspire Impact Score of -49 (MISALIGNED) may limit allocation for faith-based investors. The stock's decline from 2024 highs to the $96 April 2026 lows (recovering to $110) reflects genuine market skepticism about the active management business model, not just temporary pessimism.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$1.9T AUM (+12.9% YoY) and accelerating revenue growth (Q2 +10.7% vs Q1 +5.3%) demonstrating operating leverage potential if equity markets remain supportive and outflow trajectory moderates [1]</w:t>
      </w:r>
    </w:p>
    <w:p>
      <w:pPr>
        <w:spacing w:before="40" w:after="40"/>
        <w:ind w:left="283"/>
      </w:pPr>
      <w:r>
        <w:rPr>
          <w:rFonts w:ascii="Calibri" w:hAnsi="Calibri"/>
          <w:b/>
          <w:color w:val="4A6B25"/>
          <w:sz w:val="20"/>
        </w:rPr>
        <w:t xml:space="preserve">2. </w:t>
      </w:r>
      <w:r>
        <w:rPr>
          <w:rFonts w:ascii="Calibri" w:hAnsi="Calibri"/>
          <w:b w:val="0"/>
          <w:color w:val="3A4A28"/>
          <w:sz w:val="20"/>
        </w:rPr>
        <w:t>AI strategy advancement with T. Rowe Price Labs deploying agentic AI products to enhance investment analysis and productivity, potentially improving alpha generation and client retention in an increasingly AI-competitive landscape [2]</w:t>
      </w:r>
    </w:p>
    <w:p>
      <w:pPr>
        <w:spacing w:before="40" w:after="40"/>
        <w:ind w:left="283"/>
      </w:pPr>
      <w:r>
        <w:rPr>
          <w:rFonts w:ascii="Calibri" w:hAnsi="Calibri"/>
          <w:b/>
          <w:color w:val="4A6B25"/>
          <w:sz w:val="20"/>
        </w:rPr>
        <w:t xml:space="preserve">3. </w:t>
      </w:r>
      <w:r>
        <w:rPr>
          <w:rFonts w:ascii="Calibri" w:hAnsi="Calibri"/>
          <w:b w:val="0"/>
          <w:color w:val="3A4A28"/>
          <w:sz w:val="20"/>
        </w:rPr>
        <w:t>Private credit and alternatives revenue through OHA scaling into a meaningful earnings contributor as institutional allocations to private markets continue growing, diversifying the fee base away from pure market beta sensitivity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active-to-passive migration accelerating as AI-powered quantitative strategies replicate factor-based active management at lower cost, with $20.2B year-to-date net outflows confirming the firm is losing organic market share despite record AUM [1]</w:t>
      </w:r>
    </w:p>
    <w:p>
      <w:pPr>
        <w:spacing w:before="40" w:after="40"/>
        <w:ind w:left="283"/>
      </w:pPr>
      <w:r>
        <w:rPr>
          <w:rFonts w:ascii="Calibri" w:hAnsi="Calibri"/>
          <w:b/>
          <w:color w:val="4A6B25"/>
          <w:sz w:val="20"/>
        </w:rPr>
        <w:t xml:space="preserve">2. </w:t>
      </w:r>
      <w:r>
        <w:rPr>
          <w:rFonts w:ascii="Calibri" w:hAnsi="Calibri"/>
          <w:b w:val="0"/>
          <w:color w:val="3A4A28"/>
          <w:sz w:val="20"/>
        </w:rPr>
        <w:t>Revenue sensitivity to equity markets means a 15-20% market correction would compress AUM, fee revenue, and earnings proportionally — the record $1.9T AUM is market-driven, not organically earned, creating a fragile revenue base [1]</w:t>
      </w:r>
    </w:p>
    <w:p>
      <w:pPr>
        <w:spacing w:before="40" w:after="40"/>
        <w:ind w:left="283"/>
      </w:pPr>
      <w:r>
        <w:rPr>
          <w:rFonts w:ascii="Calibri" w:hAnsi="Calibri"/>
          <w:b/>
          <w:color w:val="4A6B25"/>
          <w:sz w:val="20"/>
        </w:rPr>
        <w:t xml:space="preserve">3. </w:t>
      </w:r>
      <w:r>
        <w:rPr>
          <w:rFonts w:ascii="Calibri" w:hAnsi="Calibri"/>
          <w:b w:val="0"/>
          <w:color w:val="3A4A28"/>
          <w:sz w:val="20"/>
        </w:rPr>
        <w:t>Rising operating expenses (4-7% guidance growth) to fund alternatives capability, AI infrastructure, and ETF distribution could compress the 30.65% net margin that currently underpins the attractive dividend coverage and 20.1% ROE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 Rowe Price's core business — active investment management — faces real but not existential AI disruption risk. AI-powered quantitative strategies, robo-advisors, and algorithmic portfolio construction are already competing for assets that might otherwise flow to traditional active managers, and the secular shift from active to passive investing is being accelerated by AI tools that can replicate factor-based strategies at lower cost [1]. The $20.2B in year-to-date net outflows underscore this pressure. However, T. Rowe Price has meaningful defensive moats: deep institutional and retirement plan relationships with high switching costs, a 39-year track record of dividend increases signaling stability, regulatory complexity in asset management that creates barriers, and human judgment required for complex alternatives and private credit strategies through OHA. The retirement plan business — where T. Rowe Price is a top-3 target-date fund provider — is particularly sticky due to plan sponsor inertia. AI Opportunity (0/1): No quantifiable AI-related revenue was identified. While T. Rowe Price Labs is deploying agentic AI tools internally to enhance investment analysis and productivity, there are no AI-powered products generating measurable external revenue or disclosed AI-driven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 Rowe Price Group Q2 2026 Earnings Release — Record $1.9T AUM, Net Revenues $1.91B (+10.7%), Adjusted EPS $2.57 (+14.7%), $20.2B YTD Net Outflows, July 2026</w:t>
      </w:r>
    </w:p>
    <w:p>
      <w:pPr>
        <w:spacing w:before="20" w:after="20"/>
        <w:ind w:left="170"/>
      </w:pPr>
      <w:r>
        <w:rPr>
          <w:rFonts w:ascii="Calibri" w:hAnsi="Calibri"/>
          <w:b/>
          <w:color w:val="4A6B25"/>
          <w:sz w:val="15"/>
        </w:rPr>
        <w:t xml:space="preserve">2. </w:t>
      </w:r>
      <w:r>
        <w:rPr>
          <w:rFonts w:ascii="Calibri" w:hAnsi="Calibri"/>
          <w:b w:val="0"/>
          <w:color w:val="3A4A28"/>
          <w:sz w:val="17"/>
        </w:rPr>
        <w:t>T. Rowe Price AI Strategy Advancement — T. Rowe Price Labs, Agentic AI Products, Leadership Model for AI Execution, Investor Relations Press Release, June 2026</w:t>
      </w:r>
    </w:p>
    <w:p>
      <w:pPr>
        <w:spacing w:before="20" w:after="20"/>
        <w:ind w:left="170"/>
      </w:pPr>
      <w:r>
        <w:rPr>
          <w:rFonts w:ascii="Calibri" w:hAnsi="Calibri"/>
          <w:b/>
          <w:color w:val="4A6B25"/>
          <w:sz w:val="15"/>
        </w:rPr>
        <w:t xml:space="preserve">3. </w:t>
      </w:r>
      <w:r>
        <w:rPr>
          <w:rFonts w:ascii="Calibri" w:hAnsi="Calibri"/>
          <w:b w:val="0"/>
          <w:color w:val="3A4A28"/>
          <w:sz w:val="17"/>
        </w:rPr>
        <w:t>T. Rowe Price Dividend History — 39 Consecutive Years of Increases, Dividend Aristocrat, StockAnalysis.com,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GuruFocus — TROW Key Statistics: Forward P/E 11.65x, D/E 4%, ROE 20.1%, Net Margin 30.65%, Stock Price $110.56,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