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TRP</w:t>
      </w:r>
      <w:r>
        <w:rPr>
          <w:rFonts w:ascii="Calibri" w:hAnsi="Calibri"/>
          <w:b/>
          <w:color w:val="1A2010"/>
          <w:sz w:val="40"/>
        </w:rPr>
        <w:t xml:space="preserve">  TC Energy Corporation</w:t>
      </w:r>
    </w:p>
    <w:p>
      <w:pPr>
        <w:spacing w:after="120"/>
      </w:pPr>
      <w:r>
        <w:rPr>
          <w:rFonts w:ascii="Calibri" w:hAnsi="Calibri"/>
          <w:b/>
          <w:color w:val="6E8450"/>
          <w:sz w:val="18"/>
        </w:rPr>
        <w:t>DIVIDEND SLEEVE · 2026-09-09 · Inspire: 0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Energy · Oil &amp; Gas Midstream · NYSE · Canada</w:t>
      </w:r>
    </w:p>
    <w:p>
      <w:pPr>
        <w:spacing w:after="80"/>
      </w:pPr>
      <w:r>
        <w:rPr>
          <w:rFonts w:ascii="Calibri" w:hAnsi="Calibri"/>
          <w:b w:val="0"/>
          <w:color w:val="3A4A28"/>
          <w:sz w:val="20"/>
        </w:rPr>
        <w:t>TC Energy operates the largest natural gas pipeline network in North America, spanning approximately 93,300 km of pipelines across Canada, the United States, and Mexico. Following the October 2023 spinoff of its liquids pipelines business as South Bow Energy, the company is focused on natural gas transmission (NGTL, Canadian Mainline, Columbia Gas, ANR), power and energy solutions (including a 48.4% interest in Bruce Power, Canada's largest nuclear generating facility), and natural gas storage. TC Energy reported Q2 2026 comparable EBITDA of C$2.95B (+12% YoY) and guided to the upper end of its 2026 EBITDA outlook of C$11.6-11.8B. CEO Francois Poirier received the 2026 Canadian Business Leader of the Year award. Market cap approximately $65B.</w:t>
      </w:r>
    </w:p>
    <w:p>
      <w:r>
        <w:rPr>
          <w:rFonts w:ascii="Calibri" w:hAnsi="Calibri"/>
          <w:b/>
          <w:color w:val="6E8450"/>
          <w:sz w:val="18"/>
        </w:rPr>
        <w:t>7,000 Employees · https://www.tcenergy.com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TC Energy has executed major infrastructure projects including completion of the C$14.5B Coastal GasLink pipeline and the Southeast Gateway pipeline in Mexico, and successfully spun off South Bow Energy in 2023 to sharpen its natural gas focus [1]. These are large-scale project deliveries but represent core business execution rather than transformative innovation. AI Deployment (1/2): TC Energy partnered with Moveworks for AI-powered digital transformation and runs a 'Bot Wars' program in partnership with Microsoft to teach employees robotic process automation. CEO Poirier has discussed AI data center power demand as a growth driver for natural gas, positioning the company as a beneficiary of AI's energy needs [3]. Market Share (2/2): TC Energy operates the largest natural gas pipeline system in North America with approximately 93,300 km of pipelines, transporting roughly 25% of North American natural gas production through its network [1]. Dominant market position in Canadian natural gas transmission through NGTL and Canadian Mainline systems, with NGTL setting all-time delivery records. Product Pipeline (1/2): The company sanctioned C$3B of new projects in H1 2026 and has approximately C$7B in its pending-approval portfolio, primarily natural gas pipeline expansions and power generation assets to serve growing AI-driven electricity demand [1]. R&amp;D Intensity (0/1): Pipeline companies invest minimally in traditional R&amp;D. TC Energy's innovation is in engineering and project execution rather than technology development.</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TC Energy's stated purpose -- safely and responsibly delivering the energy people need -- is specific to its sector but not particularly aspirational beyond operational excellence. CEO Francois Poirier has advocated for energy security through the 'Build Canada Now' initiative and championed regulatory reform to unlock Canadian energy potential, showing some purpose-driven leadership beyond pure profit maximization [3]. Community Impact (2/2): TC Energy's July 2024 sale of a 5.34% equity interest in the NGTL and Foothills pipeline systems to 72 Indigenous communities for C$1B stands as one of the most significant Indigenous economic partnerships in North American energy infrastructure [4]. This created ongoing revenue-sharing with affected communities along pipeline routes. Poirier received the 2026 Canadian Business Leader of the Year award partly for these community engagement efforts [3]. Employee Retention (0/2): No specific employee retention, turnover, or tenure data was identified in publicly available sources. TC Energy employs approximately 7,000 people post-spinoff. Insider Buying (0/2): No evidence of meaningful net insider buying by executives was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TC Energy demonstrates solid profitability with a profit margin of 23.09%, exceeding the 20% target, and a forward P/E of 22.48 that is modestly above the 20x target but reflects reasonable utility-sector valuation [5]. ROE of 11.44% falls below the 15% target, typical for capital-intensive pipeline companies. D/E of 165% significantly exceeds the 70% target, reflecting the heavy leverage inherent in regulated pipeline businesses. Revenue growth YoY of approximately 6% is moderate, supported by strong pipeline utilization and Bruce Power contributions [1][2]. The primary drag on infrastructure scoring comes from the elevated payout ratio of 96% (near the 100% floor) and a modest 5-year dividend growth CAGR of only 1.3%, partly distorted by the 2023 South Bow spinoff which reduced the per-share dividend base [4]. Consecutive years paid of 40+ and 3 consecutive years of growth post-spinoff carry double weight, partially offsetting the weak dividend growth rate. The stock easily clears the liquidity floor with approximately $186M in daily trading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TC Energy demonstrates several infinite game qualities -- the South Bow spinoff showed willingness to restructure for long-term strategic clarity, and the Indigenous equity partnerships reflect genuine community investment beyond regulatory requirements. However, the company's fundamental orientation is toward shareholder returns and regulated asset growth rather than a transcendent purpose. CEO Poirier's 'Build Canada Now' advocacy shows political courage but is also commercially motivated. The 96% payout ratio prioritizes near-term distributions over long-term reinvestment flexibility.</w:t>
      </w:r>
    </w:p>
    <w:p>
      <w:pPr>
        <w:spacing w:before="200" w:after="40"/>
      </w:pPr>
      <w:r>
        <w:rPr>
          <w:rFonts w:ascii="Calibri" w:hAnsi="Calibri"/>
          <w:b/>
          <w:color w:val="1A2010"/>
          <w:sz w:val="22"/>
        </w:rPr>
        <w:t>Just Cause</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(1.5/3): TC Energy's purpose around safely and responsibly delivering energy is genuine but primarily operational -- it describes what the company does rather than why it matters beyond commercial returns. The 'Build Canada Now' advocacy connects energy infrastructure to national economic competitiveness, which approaches a larger cause [3]. However, the 96% payout ratio and focus on per-share metrics suggest the primary orientation is toward financial returns rather than mission advancement. The purpose has not been clearly tested through costly tradeoffs where mission conflicted with profit.</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TC Energy maintains a stable leadership team with CEO Poirier in place since January 2021 and a management structure that successfully navigated the complex South Bow spinoff. Poirier's 2026 Canadian Business Leader of the Year award and the company's 'Culture of Ambition' messaging suggest intentional culture-building [3]. However, no specific data on employee engagement surveys, voluntary turnover, or frontline worker trust metrics was identified. The post-spinoff workforce of approximately 7,000 is significantly smaller than the pre-spinoff entity, and the impact of that restructuring on organizational trust is unclear.</w:t>
      </w:r>
    </w:p>
    <w:p>
      <w:pPr>
        <w:spacing w:before="200" w:after="40"/>
      </w:pPr>
      <w:r>
        <w:rPr>
          <w:rFonts w:ascii="Calibri" w:hAnsi="Calibri"/>
          <w:b/>
          <w:color w:val="1A2010"/>
          <w:sz w:val="22"/>
        </w:rPr>
        <w:t>Worthy Rivals</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(0.5/1): TC Energy competes with Enbridge, Williams Companies, and Kinder Morgan in North American natural gas infrastructure. The company's strategic pivot to pure-play natural gas (via South Bow spinoff) was partly a response to Enbridge's more diversified midstream model and investor preference for focused business models [4]. This suggests some competitive learning, but no specific evidence of TC Energy's leadership publicly acknowledging what rivals do better or using competitors as motivation for self-improvement.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(1.5/2): The October 2023 South Bow spinoff was a meaningful act of existential flexibility -- TC Energy voluntarily separated its liquids pipeline business (including the Keystone system) to focus on natural gas, power, and energy solutions [4]. This required abandoning a significant revenue stream and decades of identity as a diversified pipeline company. The earlier cancellation of Keystone XL (forced by political opposition) also demonstrated adaptability. The company's pivot toward power generation and AI-driven electricity demand shows ongoing strategic evolution, though these moves are more incremental than transformative.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(1.5/2): CEO Poirier has demonstrated courage through the 'Build Canada Now' campaign advocating for regulatory reform -- a politically charged position that drew both praise and criticism [3]. The C$1B Indigenous equity partnership required significant capital commitment and long-term revenue sharing with no guarantee of regulatory goodwill [4]. The South Bow spinoff was a bold restructuring that simplified the company at the cost of reduced scale. However, the 96% payout ratio and reliance on contracted cash flows suggest a somewhat conservative financial posture that limits the ability to make transformative bets.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TC Energy at 22.48x forward earnings offers exposure to North America's largest natural gas pipeline network with 12% EBITDA growth and improving earnings visibility -- Q2 2026 comparable EBITDA of C$2.95B beat expectations with EBITDA guidance raised to the upper end of the C$11.6-11.8B range [1]. The post-spinoff pure-play natural gas focus simplifies the investment thesis, with regulated and contracted cash flows providing revenue certainty. The 4.02% dividend yield (40-year payment history) and C$10B capital project pipeline (C$3B sanctioned in H1 2026, C$7B pending) provide income and growth. AI-driven power demand represents a secular tailwind for natural gas infrastructure, with CEO Poirier actively positioning TC Energy to serve data center electricity needs through pipeline expansions and power generation assets [3]. Bruce Power's nuclear generating capacity adds clean baseload power exposure.</w:t>
      </w:r>
    </w:p>
    <w:p>
      <w:pPr>
        <w:spacing w:after="120"/>
      </w:pPr>
      <w:r>
        <w:rPr>
          <w:rFonts w:ascii="Calibri" w:hAnsi="Calibri"/>
          <w:b w:val="0"/>
          <w:color w:val="3A4A28"/>
          <w:sz w:val="20"/>
        </w:rPr>
        <w:t>The bear case centers on leverage, dividend sustainability, and energy transition risk. D/E of 165% and a 96% payout ratio leave minimal margin for error -- any earnings disappointment could pressure the dividend, and the 5-year dividend growth CAGR of only 1.3% reflects limited capacity for meaningful distribution increases [5]. The Coastal GasLink project experienced massive cost overruns (final cost C$14.5B vs. original C$6.2B estimate), raising questions about capital allocation discipline on large projects [4]. Long-term energy transition away from natural gas remains a structural risk, though the timeline is measured in decades rather than years. Revenue growth of approximately 6% YoY is moderate for the forward valuation, and the post-spinoff company has a shorter standalone track record. The Inspire Impact Score of 0 (MIXED) reflects a neutral faith alignment profile with no positive or negative attributions identified. Regulatory and Indigenous opposition to pipeline construction could delay or increase costs for the C$7B pending project portfolio.</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AI data center power demand creating a secular tailwind for natural gas pipeline and power generation infrastructure, with TC Energy's C$7B pending project portfolio positioned to serve this growing electricity demand [3]</w:t>
      </w:r>
    </w:p>
    <w:p>
      <w:pPr>
        <w:spacing w:before="40" w:after="40"/>
        <w:ind w:left="283"/>
      </w:pPr>
      <w:r>
        <w:rPr>
          <w:rFonts w:ascii="Calibri" w:hAnsi="Calibri"/>
          <w:b/>
          <w:color w:val="4A6B25"/>
          <w:sz w:val="20"/>
        </w:rPr>
        <w:t xml:space="preserve">2. </w:t>
      </w:r>
      <w:r>
        <w:rPr>
          <w:rFonts w:ascii="Calibri" w:hAnsi="Calibri"/>
          <w:b w:val="0"/>
          <w:color w:val="3A4A28"/>
          <w:sz w:val="20"/>
        </w:rPr>
        <w:t>EBITDA guidance raised to upper end of C$11.6-11.8B range for 2026, with 12% comparable EBITDA growth in Q2 suggesting potential for further upward revisions if pipeline utilization remains strong [1]</w:t>
      </w:r>
    </w:p>
    <w:p>
      <w:pPr>
        <w:spacing w:before="40" w:after="40"/>
        <w:ind w:left="283"/>
      </w:pPr>
      <w:r>
        <w:rPr>
          <w:rFonts w:ascii="Calibri" w:hAnsi="Calibri"/>
          <w:b/>
          <w:color w:val="4A6B25"/>
          <w:sz w:val="20"/>
        </w:rPr>
        <w:t xml:space="preserve">3. </w:t>
      </w:r>
      <w:r>
        <w:rPr>
          <w:rFonts w:ascii="Calibri" w:hAnsi="Calibri"/>
          <w:b w:val="0"/>
          <w:color w:val="3A4A28"/>
          <w:sz w:val="20"/>
        </w:rPr>
        <w:t>C$3B of projects sanctioned in H1 2026 with C$7B pending, representing a multi-year visible growth pipeline that should drive EBITDA expansion through 2028-2030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Elevated leverage (D/E 165%) and 96% payout ratio leave minimal financial flexibility -- any earnings miss or project cost overrun could pressure the dividend, and the Coastal GasLink cost overrun precedent (C$14.5B vs C$6.2B original estimate) raises capital discipline concerns [4][5]</w:t>
      </w:r>
    </w:p>
    <w:p>
      <w:pPr>
        <w:spacing w:before="40" w:after="40"/>
        <w:ind w:left="283"/>
      </w:pPr>
      <w:r>
        <w:rPr>
          <w:rFonts w:ascii="Calibri" w:hAnsi="Calibri"/>
          <w:b/>
          <w:color w:val="4A6B25"/>
          <w:sz w:val="20"/>
        </w:rPr>
        <w:t xml:space="preserve">2. </w:t>
      </w:r>
      <w:r>
        <w:rPr>
          <w:rFonts w:ascii="Calibri" w:hAnsi="Calibri"/>
          <w:b w:val="0"/>
          <w:color w:val="3A4A28"/>
          <w:sz w:val="20"/>
        </w:rPr>
        <w:t>Long-term energy transition away from natural gas creates structural demand risk, though AI power demand provides a near-term offset -- if renewable energy and battery storage costs decline faster than expected, natural gas pipeline volumes could peak sooner than currently projected [3]</w:t>
      </w:r>
    </w:p>
    <w:p>
      <w:pPr>
        <w:spacing w:before="40" w:after="40"/>
        <w:ind w:left="283"/>
      </w:pPr>
      <w:r>
        <w:rPr>
          <w:rFonts w:ascii="Calibri" w:hAnsi="Calibri"/>
          <w:b/>
          <w:color w:val="4A6B25"/>
          <w:sz w:val="20"/>
        </w:rPr>
        <w:t xml:space="preserve">3. </w:t>
      </w:r>
      <w:r>
        <w:rPr>
          <w:rFonts w:ascii="Calibri" w:hAnsi="Calibri"/>
          <w:b w:val="0"/>
          <w:color w:val="3A4A28"/>
          <w:sz w:val="20"/>
        </w:rPr>
        <w:t>Post-spinoff TC Energy has a shorter standalone operating history, and the modest 5-year dividend growth CAGR of 1.3% reflects spinoff-related per-share dilution that may take years to fully recover through organic growth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TC Energy's core business -- physical natural gas pipeline infrastructure with long-term regulated and contracted cash flows -- is structurally protected from AI disruption. Pipelines cannot be digitized or replaced by software, and take-or-pay contracts provide revenue certainty regardless of technological change [1]. The regulatory moats around pipeline construction and operation (environmental approvals, rights-of-way, rate regulation) create barriers that no AI competitor can circumvent. The long-term risk to natural gas demand from electrification and renewable energy expansion exists but is not AI-specific, and current trends show AI data centers dramatically increasing power demand, which supports natural gas generation [3]. The pipeline network's physical dominance -- carrying roughly 25% of North American natural gas -- gives TC Energy essential-service status. AI Opportunity (1/1): CEO Poirier has publicly identified AI-driven power demand as a major growth catalyst for TC Energy, noting on CNBC that 'power demand for AI is rapidly accelerating' and positioning the company's pipeline network and power generation assets (including Bruce Power nuclear) to serve data center electricity needs [3]. The C$7B pending project portfolio is partly oriented toward power generation expansion to meet AI-driven electricity demand.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TC Energy Q2 2026 Earnings Release -- Comparable EBITDA C$2.95B (+12%), Revenue C$2.86B (+5.6%), Adjusted EPS +15.3% YoY, EBITDA Guidance at Upper End, July 2026</w:t>
      </w:r>
    </w:p>
    <w:p>
      <w:pPr>
        <w:spacing w:before="20" w:after="20"/>
        <w:ind w:left="170"/>
      </w:pPr>
      <w:r>
        <w:rPr>
          <w:rFonts w:ascii="Calibri" w:hAnsi="Calibri"/>
          <w:b/>
          <w:color w:val="4A6B25"/>
          <w:sz w:val="15"/>
        </w:rPr>
        <w:t xml:space="preserve">2. </w:t>
      </w:r>
      <w:r>
        <w:rPr>
          <w:rFonts w:ascii="Calibri" w:hAnsi="Calibri"/>
          <w:b w:val="0"/>
          <w:color w:val="3A4A28"/>
          <w:sz w:val="17"/>
        </w:rPr>
        <w:t>TC Energy Q1 2026 Earnings Release -- Revenue C$3.86B (+6.57%), 14% EBITDA Surge, Projects Sanctioned, May 2026</w:t>
      </w:r>
    </w:p>
    <w:p>
      <w:pPr>
        <w:spacing w:before="20" w:after="20"/>
        <w:ind w:left="170"/>
      </w:pPr>
      <w:r>
        <w:rPr>
          <w:rFonts w:ascii="Calibri" w:hAnsi="Calibri"/>
          <w:b/>
          <w:color w:val="4A6B25"/>
          <w:sz w:val="15"/>
        </w:rPr>
        <w:t xml:space="preserve">3. </w:t>
      </w:r>
      <w:r>
        <w:rPr>
          <w:rFonts w:ascii="Calibri" w:hAnsi="Calibri"/>
          <w:b w:val="0"/>
          <w:color w:val="3A4A28"/>
          <w:sz w:val="17"/>
        </w:rPr>
        <w:t>CNBC -- TC Energy CEO Francois Poirier on AI Power Demand, Build Canada Now, Canadian Business Leader of the Year Award, February-March 2026</w:t>
      </w:r>
    </w:p>
    <w:p>
      <w:pPr>
        <w:spacing w:before="20" w:after="20"/>
        <w:ind w:left="170"/>
      </w:pPr>
      <w:r>
        <w:rPr>
          <w:rFonts w:ascii="Calibri" w:hAnsi="Calibri"/>
          <w:b/>
          <w:color w:val="4A6B25"/>
          <w:sz w:val="15"/>
        </w:rPr>
        <w:t xml:space="preserve">4. </w:t>
      </w:r>
      <w:r>
        <w:rPr>
          <w:rFonts w:ascii="Calibri" w:hAnsi="Calibri"/>
          <w:b w:val="0"/>
          <w:color w:val="3A4A28"/>
          <w:sz w:val="17"/>
        </w:rPr>
        <w:t>TC Energy ESG and Indigenous Partnerships -- C$1B NGTL/Foothills Equity Sale to 72 Indigenous Communities, South Bow Spinoff, Coastal GasLink Completion, 2023-2024</w:t>
      </w:r>
    </w:p>
    <w:p>
      <w:pPr>
        <w:spacing w:before="20" w:after="20"/>
        <w:ind w:left="170"/>
      </w:pPr>
      <w:r>
        <w:rPr>
          <w:rFonts w:ascii="Calibri" w:hAnsi="Calibri"/>
          <w:b/>
          <w:color w:val="4A6B25"/>
          <w:sz w:val="15"/>
        </w:rPr>
        <w:t xml:space="preserve">5. </w:t>
      </w:r>
      <w:r>
        <w:rPr>
          <w:rFonts w:ascii="Calibri" w:hAnsi="Calibri"/>
          <w:b w:val="0"/>
          <w:color w:val="3A4A28"/>
          <w:sz w:val="17"/>
        </w:rPr>
        <w:t>Yahoo Finance, StockAnalysis, GuruFocus -- TRP Key Statistics: Forward P/E 22.48x, D/E 165%, ROE 11.44%, Profit Margin 23.09%, Stock Price $63, Dividend Yield 4.02%,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