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TRU</w:t>
      </w:r>
      <w:r>
        <w:rPr>
          <w:rFonts w:ascii="Calibri" w:hAnsi="Calibri"/>
          <w:b/>
          <w:color w:val="1A2010"/>
          <w:sz w:val="40"/>
        </w:rPr>
        <w:t xml:space="preserve">  TransUnion</w:t>
      </w:r>
    </w:p>
    <w:p>
      <w:pPr>
        <w:spacing w:after="120"/>
      </w:pPr>
      <w:r>
        <w:rPr>
          <w:rFonts w:ascii="Calibri" w:hAnsi="Calibri"/>
          <w:b/>
          <w:color w:val="6E8450"/>
          <w:sz w:val="18"/>
        </w:rPr>
        <w:t>GROWTH SLEEVE · 2026-09-07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Business Services · NYSE · United States</w:t>
      </w:r>
    </w:p>
    <w:p>
      <w:pPr>
        <w:spacing w:after="80"/>
      </w:pPr>
      <w:r>
        <w:rPr>
          <w:rFonts w:ascii="Calibri" w:hAnsi="Calibri"/>
          <w:b w:val="0"/>
          <w:color w:val="3A4A28"/>
          <w:sz w:val="20"/>
        </w:rPr>
        <w:t>TransUnion is a global information and insights company and one of the three major consumer credit bureaus in the United States, alongside Equifax and Experian. The company provides credit information, fraud detection, identity verification, and analytical solutions to businesses and consumers across financial services, insurance, healthcare, and government sectors. Serves over 65,000 businesses and approximately one billion consumers worldwide. Launched OneTru AI-powered platform connecting data, identity, and analytics. Expanded into identity and fraud prevention through the $3.1B Neustar acquisition (2021). Q2 2026 revenue $1,310M (+15% reported). Market cap ~$16.3B.</w:t>
      </w:r>
    </w:p>
    <w:p>
      <w:r>
        <w:rPr>
          <w:rFonts w:ascii="Calibri" w:hAnsi="Calibri"/>
          <w:b/>
          <w:color w:val="6E8450"/>
          <w:sz w:val="18"/>
        </w:rPr>
        <w:t>13,500 Employees · https://www.transunion.com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TransUnion executed two transformative acquisitions — Neustar ($3.1B, 2021) expanding into identity verification and fraud prevention, and Verisk Financial Services (2022) adding insurance analytics — fundamentally broadening the company beyond traditional credit reporting [1][3]. Q2 2026 delivered $1,310M revenue (+15% reported, +10% organic constant currency) with U.S. Financial Services leading at 18% growth, validating the platform diversification strategy [1]. These represent significant new revenue streams but not a complete company reinvention. AI Deployment (1/2): OneTru AI-powered platform launched connecting data, identity, and analytics to accelerate innovation. Machine learning is integrated into TruVision credit scoring, fraud detection, and identity resolution products shipping to financial institution customers [3]. CEO Cartwright emphasizes AI 'paired with data, governance, customer focus and trust' but no specific AI-driven revenue figures or quantified cost savings have been disclosed. Market Share (1/2): TransUnion is the #3 U.S. credit bureau by scale behind Equifax and Experian, but is gaining share in the faster-growing identity verification and fraud prevention verticals through the Neustar platform — U.S. Markets revenue grew 11% and Financial Services 18% in Q2 2026 [1]. Product Pipeline (1/2): OneTru platform expansion, AI-powered fraud prevention, and international growth (Canada, India, UK accelerating) provide visible momentum. Recent board appointments with AI/cloud expertise from Workday and Microsoft signal ongoing investment [3]. R&amp;D Intensity (0/1): Technology investment is meaningful in absolute terms but R&amp;D as a percentage of revenue is not separately disclosed and appears at or below industry average for data analytics companies.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TransUnion's 'Information for Good' purpose and mission to 'help people everywhere access the opportunities that lead to a higher quality of life' connects data services to financial inclusion and consumer empowerment [3]. Core values of Integrity, People, Customers, and Innovation define the corporate identity. The mission is clear and industry-relevant but not transformatively differentiated from credit bureau peers (Equifax: 'Powering the World with Knowledge', Experian: 'Creating a Better Tomorrow') — it identifies purpose without describing a future state that doesn't yet exist. Community Impact (1/2): TransUnion invests in financial literacy programs, consumer education, and alternative credit data initiatives to broaden financial access. The first global ESG materiality assessment (2021) confirmed commitment to financial inclusion and cybersecurity. Genuine if not exceptional social investment aligned with the mission [4]. Employee Retention (1/2): CEO Chris Cartwright has provided stable leadership since May 2019, emphasizing collaborative culture and associate development. Recent executive additions from Workday and Microsoft suggest ability to attract senior talent [3]. Built In ranks TransUnion's technology culture positively, noting 'test in contained environments, fail fast, learn, and iterate' approach. No specific turnover data available. Insider Buying (0/2): Net insider selling dominates — 8 insiders sold $4.87M in the last 12 months with 0 insiders buying [5]. Sales are primarily through pre-arranged 10b5-1 plans, typical of executive compensation harvesting rather than loss of confidence, but no evidence of meaningful conviction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2026 delivered $1,310M revenue (+15% reported, +10% organic CC) with adjusted diluted EPS of $1.23 (+13% YoY), beating the high end of guidance by $0.08 [1]. FY2026 guidance was raised to 12-13% revenue growth and 11-12% adjusted EPS growth. Forward P/E of 18.40 is below the 20x target, scoring 1.0 [5]. D/E of 113% is elevated from the Neustar acquisition but improving (down from 118%), scoring 0.81 against the 70% target and 300% floor [5]. Revenue growth YoY of 15% exceeds the 10% target and 5-year CAGR of ~11.7% (from $2.96B in 2021 to guided ~$5.14B in 2026) scores 1.0 at 2x weight [1]. The main drags are ROE of 9.80%, well below the 15% target (scoring 0.65 at 2x weight), reflecting Neustar intangible amortization depressing GAAP returns [5], and GAAP profit margin of 9.46%, scoring 0.47 against the 20% target [5]. Forward PEG of approximately 1.42 (Forward PE 18.40 / ~13% EPS growth) scores 0.79 at 2x weight. Liquidity floor cleared: avg daily volume 1.73M × $84.94 = ~$146.9M.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TransUnion operates with a mixed infinite-finite mindset. The 'Information for Good' purpose provides a credible foundation, and the $3.1B Neustar acquisition demonstrates strategic vision to evolve beyond credit reporting. CEO Cartwright's emphasis on pairing innovation with 'data, governance, customer focus and trust' reflects thoughtful long-term positioning. However, the competitive dynamics of the credit bureau oligopoly foster a market-share-focused mentality, and consistent insider selling plus post-acquisition cost optimization patterns indicate finite-game optimization tendencies.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TransUnion's 'Information for Good' purpose connects data services to consumer empowerment and financial inclusion, but reads more as effective positioning than a deeply held organizational belief tested through crisis [3]. The purpose hasn't survived an existential test, and strategic decisions like the $3.1B Neustar acquisition appear driven by competitive positioning (responding to Equifax and Experian expansion) rather than advancing a transformative vision. The concept of 'good' remains vaguely defined — financial inclusion initiatives exist but are not central to strategic decision-making.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Cartwright has provided stable leadership since 2019, emphasizing collaborative culture and talent development. Built In highlights a technology culture of 'fail fast, learn, and iterate without risking core platforms or customer trust' — Sinek-aligned language around psychological safety in innovation [3]. Recent executive hires from Workday and Microsoft suggest the organization attracts top technology talent. However, no exceptional retention data was identified, and consistent insider selling by executives suggests compensation-harvesting rather than deep organizational commitment.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TransUnion competes in a credit bureau oligopoly with Equifax and Experian, and management frames competitive dynamics around improving its own product capabilities — expanding into identity, fraud, and insurance analytics through OneTru — rather than attempting to destroy rivals [1][3]. CEO Cartwright's emphasis that 'organizations that pair innovation with strong foundational elements move faster and sustain their relevance longer' reflects competition as motivation for self-improvement rather than market share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TransUnion has meaningfully evolved from a traditional credit bureau into a diversified data analytics platform through the $3.1B Neustar acquisition (identity/fraud) and Verisk Financial Services (insurance analytics), expanding the addressable market well beyond credit originations [1][3]. The OneTru AI-powered platform represents genuine business model evolution. However, the transformation was incremental and market-driven rather than a purpose-led reinvention — the core credit bureau business remains the foundation.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$3.1B Neustar acquisition in 2021 was the largest in company history, fundamentally expanding TransUnion beyond credit reporting into identity verification and fraud prevention at significant financial risk (D/E rose to 118%+) [1]. Management committed to deleveraging while sustaining technology investment and raising FY2026 guidance twice. The OneTru platform launch represents meaningful product vision. However, consistent insider selling, post-acquisition cost-cutting through offshoring, and the acquisition timing during cheap capital suggest tactical optimization alongside strategic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TransUnion delivered strong Q2 2026 results with revenue of $1,310M (+15% reported, +10% organic CC) and adjusted diluted EPS of $1.23 (+13%), beating the high end of guidance by $0.08, prompting management to raise full-year 2026 guidance to 12-13% revenue growth and 11-12% adjusted EPS growth [1]. U.S. Financial Services led at 18% growth, validating the Neustar-enhanced platform serving identity, fraud prevention, and credit decisioning. International revenues accelerated to 6% organically with strong performances in Canada, India, and the UK [1]. At Forward P/E of 18.4 and estimated PEG of ~1.4, TransUnion offers reasonable value for a company delivering accelerating growth in an FCRA-regulated oligopoly with structural moats against AI disruption. The OneTru AI-powered platform and deleveraging trajectory (D/E improving from 118% toward target) provide a visible path toward margin expansion and capital return improvement.</w:t>
      </w:r>
    </w:p>
    <w:p>
      <w:pPr>
        <w:spacing w:after="120"/>
      </w:pPr>
      <w:r>
        <w:rPr>
          <w:rFonts w:ascii="Calibri" w:hAnsi="Calibri"/>
          <w:b w:val="0"/>
          <w:color w:val="3A4A28"/>
          <w:sz w:val="20"/>
        </w:rPr>
        <w:t>The bear case centers on leverage, profitability, and cyclical exposure. D/E of 113% remains elevated from the $3.1B Neustar acquisition, constraining financial flexibility, and any economic downturn compressing lending volumes would pressure both revenue and the deleveraging timeline [5]. GAAP ROE of 9.80% and net profit margin of 9.46% trail the IOWN targets and credit bureau peers, reflecting ongoing Neustar intangible amortization and integration costs that may prove persistent rather than transitional [5]. Revenue carries cyclical exposure to mortgage and auto lending volumes — the company assumes 'conservative mortgage volume declines due to higher rates' in its guidance, meaning any further rate increases would compress growth [1]. AI-native lending platforms (Upstart, Zest AI) represent a long-tail risk to traditional credit bureau dependence, particularly in thin-file and alternative lending segments. The Inspire Impact Score of -49 (MISALIGNED) due to the LGBT Activism negative attribution creates allocation constraints for faith-based investors despite the 10 positive attributions including Customer Privacy and Product Access.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U.S. Financial Services growth accelerating to 18% in Q2 2026, driven by lending volume recovery and cross-selling Neustar identity and fraud solutions into the existing 65,000+ business customer base, with raised full-year guidance to 12-13% revenue growth [1]</w:t>
      </w:r>
    </w:p>
    <w:p>
      <w:pPr>
        <w:spacing w:before="40" w:after="40"/>
        <w:ind w:left="283"/>
      </w:pPr>
      <w:r>
        <w:rPr>
          <w:rFonts w:ascii="Calibri" w:hAnsi="Calibri"/>
          <w:b/>
          <w:color w:val="4A6B25"/>
          <w:sz w:val="20"/>
        </w:rPr>
        <w:t xml:space="preserve">2. </w:t>
      </w:r>
      <w:r>
        <w:rPr>
          <w:rFonts w:ascii="Calibri" w:hAnsi="Calibri"/>
          <w:b w:val="0"/>
          <w:color w:val="3A4A28"/>
          <w:sz w:val="20"/>
        </w:rPr>
        <w:t>OneTru AI-powered platform connecting data, identity, and analytics across the enterprise, potentially driving platform consolidation and net-new revenue streams in fraud prevention, marketing analytics, and insurance verticals [3]</w:t>
      </w:r>
    </w:p>
    <w:p>
      <w:pPr>
        <w:spacing w:before="40" w:after="40"/>
        <w:ind w:left="283"/>
      </w:pPr>
      <w:r>
        <w:rPr>
          <w:rFonts w:ascii="Calibri" w:hAnsi="Calibri"/>
          <w:b/>
          <w:color w:val="4A6B25"/>
          <w:sz w:val="20"/>
        </w:rPr>
        <w:t xml:space="preserve">3. </w:t>
      </w:r>
      <w:r>
        <w:rPr>
          <w:rFonts w:ascii="Calibri" w:hAnsi="Calibri"/>
          <w:b w:val="0"/>
          <w:color w:val="3A4A28"/>
          <w:sz w:val="20"/>
        </w:rPr>
        <w:t>International expansion with 6% organic constant-currency growth accelerating in Canada, India, and the UK, supported by medium-term financial framework targeting low-double digit international growth and margin expansion toward 40% adjusted EBITDA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113% from the Neustar acquisition limits financial flexibility, and GAAP ROE of 9.80% / net margin of 9.46% remain well below IOWN targets due to intangible amortization — any revenue deceleration would pressure both the deleveraging timeline and profitability trajectory [5]</w:t>
      </w:r>
    </w:p>
    <w:p>
      <w:pPr>
        <w:spacing w:before="40" w:after="40"/>
        <w:ind w:left="283"/>
      </w:pPr>
      <w:r>
        <w:rPr>
          <w:rFonts w:ascii="Calibri" w:hAnsi="Calibri"/>
          <w:b/>
          <w:color w:val="4A6B25"/>
          <w:sz w:val="20"/>
        </w:rPr>
        <w:t xml:space="preserve">2. </w:t>
      </w:r>
      <w:r>
        <w:rPr>
          <w:rFonts w:ascii="Calibri" w:hAnsi="Calibri"/>
          <w:b w:val="0"/>
          <w:color w:val="3A4A28"/>
          <w:sz w:val="20"/>
        </w:rPr>
        <w:t>Cyclical exposure to mortgage and auto lending volumes — guidance already assumes 'conservative mortgage volume declines due to higher rates,' and any further rate increases or economic weakness would compress U.S. Markets growth from the current 11% trajectory [1]</w:t>
      </w:r>
    </w:p>
    <w:p>
      <w:pPr>
        <w:spacing w:before="40" w:after="40"/>
        <w:ind w:left="283"/>
      </w:pPr>
      <w:r>
        <w:rPr>
          <w:rFonts w:ascii="Calibri" w:hAnsi="Calibri"/>
          <w:b/>
          <w:color w:val="4A6B25"/>
          <w:sz w:val="20"/>
        </w:rPr>
        <w:t xml:space="preserve">3. </w:t>
      </w:r>
      <w:r>
        <w:rPr>
          <w:rFonts w:ascii="Calibri" w:hAnsi="Calibri"/>
          <w:b w:val="0"/>
          <w:color w:val="3A4A28"/>
          <w:sz w:val="20"/>
        </w:rPr>
        <w:t>AI-native lending platforms and alternative credit scoring models (Upstart, Zest AI) could gradually reduce financial institutions' dependence on traditional credit bureau data, particularly for thin-file and subprime segments where alternative data AI models may prove superior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TransUnion's core credit reporting business operates in a regulated oligopoly under the Fair Credit Reporting Act (FCRA) — only three national consumer reporting agencies operate at scale, a structural moat AI cannot dissolve [1][3]. Financial institutions are legally required to use credit bureau data for lending decisions, and TransUnion's proprietary consumer credit files on over one billion individuals cannot be replicated by AI models. The deeply embedded integration with lenders' underwriting systems and regulatory infrastructure creates prohibitive switching costs. Identity verification and fraud prevention data from the Neustar acquisition adds another defensible data moat. The Data Risk Committee and AI risk assessment framework demonstrate proactive governance of AI-related risks [3]. However, AI-native lending platforms (Upstart, Zest AI) could gradually reduce traditional credit bureau dependence for certain lending decisions. AI Opportunity (1/1): TransUnion generates revenue from AI-powered fraud detection, identity resolution, and credit decisioning products through the OneTru platform. TruVision credit scoring and OneTru real-time fraud analytics use machine learning trained on proprietary data, with AI capabilities serving as a competitive differentiator across financial services, insurance, and government verticals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TransUnion Q2 2026 Earnings Release — $1,310M Revenue (+15% Reported, +10% Organic CC), Adjusted EPS $1.23 (+13%), FY2026 Guidance Raised to 12-13% Revenue Growth, U.S. Financial Services +18%, International +6% Organic, July 2026</w:t>
      </w:r>
    </w:p>
    <w:p>
      <w:pPr>
        <w:spacing w:before="20" w:after="20"/>
        <w:ind w:left="170"/>
      </w:pPr>
      <w:r>
        <w:rPr>
          <w:rFonts w:ascii="Calibri" w:hAnsi="Calibri"/>
          <w:b/>
          <w:color w:val="4A6B25"/>
          <w:sz w:val="15"/>
        </w:rPr>
        <w:t xml:space="preserve">2. </w:t>
      </w:r>
      <w:r>
        <w:rPr>
          <w:rFonts w:ascii="Calibri" w:hAnsi="Calibri"/>
          <w:b w:val="0"/>
          <w:color w:val="3A4A28"/>
          <w:sz w:val="17"/>
        </w:rPr>
        <w:t>TransUnion Full-Year 2025 Results — Revenue ~$4.57B, Q4 Growth 14%, 2026 Outlook, SEC Form 8-K, February 2026</w:t>
      </w:r>
    </w:p>
    <w:p>
      <w:pPr>
        <w:spacing w:before="20" w:after="20"/>
        <w:ind w:left="170"/>
      </w:pPr>
      <w:r>
        <w:rPr>
          <w:rFonts w:ascii="Calibri" w:hAnsi="Calibri"/>
          <w:b/>
          <w:color w:val="4A6B25"/>
          <w:sz w:val="15"/>
        </w:rPr>
        <w:t xml:space="preserve">3. </w:t>
      </w:r>
      <w:r>
        <w:rPr>
          <w:rFonts w:ascii="Calibri" w:hAnsi="Calibri"/>
          <w:b w:val="0"/>
          <w:color w:val="3A4A28"/>
          <w:sz w:val="17"/>
        </w:rPr>
        <w:t>TransUnion Corporate — CEO Chris Cartwright, OneTru AI Platform, 'Information for Good' Mission, AI Principles and Data Risk Committee, Built In Technology Culture Profile, 2025-2026</w:t>
      </w:r>
    </w:p>
    <w:p>
      <w:pPr>
        <w:spacing w:before="20" w:after="20"/>
        <w:ind w:left="170"/>
      </w:pPr>
      <w:r>
        <w:rPr>
          <w:rFonts w:ascii="Calibri" w:hAnsi="Calibri"/>
          <w:b/>
          <w:color w:val="4A6B25"/>
          <w:sz w:val="15"/>
        </w:rPr>
        <w:t xml:space="preserve">4. </w:t>
      </w:r>
      <w:r>
        <w:rPr>
          <w:rFonts w:ascii="Calibri" w:hAnsi="Calibri"/>
          <w:b w:val="0"/>
          <w:color w:val="3A4A28"/>
          <w:sz w:val="17"/>
        </w:rPr>
        <w:t>TransUnion 2023 Sustainability Report, Financial Inclusion Programs, ESG Materiality Assessment, transunion.com, 2024</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GuruFocus — TRU: $84.94 Price, Forward P/E 18.40, D/E 113%, ROE 9.80%, Profit Margin 9.46%, Avg Volume 1.73M, Insider Selling $4.87M (12 Months),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