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TSCO</w:t>
      </w:r>
      <w:r>
        <w:rPr>
          <w:rFonts w:ascii="Calibri" w:hAnsi="Calibri"/>
          <w:b/>
          <w:color w:val="1A2010"/>
          <w:sz w:val="40"/>
        </w:rPr>
        <w:t xml:space="preserve">  Tractor Supply Company</w:t>
      </w:r>
    </w:p>
    <w:p>
      <w:pPr>
        <w:spacing w:after="120"/>
      </w:pPr>
      <w:r>
        <w:rPr>
          <w:rFonts w:ascii="Calibri" w:hAnsi="Calibri"/>
          <w:b/>
          <w:color w:val="6E8450"/>
          <w:sz w:val="18"/>
        </w:rPr>
        <w:t>GROWTH SLEEVE · 2026-10-17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NASDAQ · United States</w:t>
      </w:r>
    </w:p>
    <w:p>
      <w:pPr>
        <w:spacing w:after="80"/>
      </w:pPr>
      <w:r>
        <w:rPr>
          <w:rFonts w:ascii="Calibri" w:hAnsi="Calibri"/>
          <w:b w:val="0"/>
          <w:color w:val="3A4A28"/>
          <w:sz w:val="20"/>
        </w:rPr>
        <w:t>Tractor Supply Company is the largest rural lifestyle retailer in the United States, operating over 2,300 Tractor Supply stores and 200+ Petsense by Tractor Supply stores across 49 states. The company sells products for home improvement, agriculture, livestock, equine, and pet care, targeting recreational farmers, ranchers, and rural homeowners. FY2025 net sales were $15.52B (+4.3% YoY), and FY2026 guidance has been lowered to $15.91B-$16.07B with EPS of $1.90-$2.00 after Q2 comparable store sales declined 1.5%. CEO Hal Lawton has led the company since January 2020.</w:t>
      </w:r>
    </w:p>
    <w:p>
      <w:r>
        <w:rPr>
          <w:rFonts w:ascii="Calibri" w:hAnsi="Calibri"/>
          <w:b/>
          <w:color w:val="6E8450"/>
          <w:sz w:val="18"/>
        </w:rPr>
        <w:t>50,000 Employees · https://www.tractorsupply.com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Tractor Supply's business model is fundamentally unchanged over the last five years — the same rural lifestyle retail concept executed through brick-and-mortar store expansion. The Petsense rebrand to 'Petsense by Tractor Supply' and digital commerce enhancements are incremental improvements, not transformative pivots [1]. The company has added hundreds of stores but this is organic growth of an existing format. AI Deployment (0/2): No evidence of AI deployment in store operations, supply chain, or customer-facing products. The company's technology investments focus on e-commerce and digital loyalty programs rather than AI-driven capabilities [2]. Market Share (2/2): Tractor Supply is the dominant rural lifestyle retailer in America with no direct competitor of comparable scale — 2,300+ stores serving a niche that Home Depot, Lowe's, and Walmart cannot fully address. The company continues to gain share through store density in underserved rural markets [1]. Product Pipeline (0/2): No next-generation product launches or format transformations announced with specific timelines. Growth strategy remains store expansion and same-store optimization. R&amp;D Intensity (0/1): Retail companies have negligible R&amp;D spending; Tractor Supply invests in IT infrastructure and store formats but this is below-average even for retail.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'Life Out Here' is a clear and somewhat distinctive brand purpose that identifies a specific lifestyle community (rural Americans) and positions Tractor Supply as its champion, but it functions more as a marketing platform than a deeply held purpose that drives strategic sacrifice [2]. The June 2024 reversal of the company's ESG, DEI, and climate commitments under conservative activist pressure demonstrates that corporate values are negotiable, undermining the authenticity of any stated purpose [3]. Community Impact (1/2): Tractor Supply stores serve as rural community anchors, and the company previously supported various community programs, though specific charitable dollar amounts are not prominently disclosed. The shift to focus on land and water conservation after dropping climate emissions goals represents a narrower community impact footprint [3]. Employee Retention (1/2): Store managers receive restricted stock units as ownership incentives, and new managers attend weeklong leadership and culture training at Nashville headquarters. CEO Lawton described admiring the company's culture before joining [2]. These signals suggest adequate employee investment, though no specific turnover or tenure data is available. Insider Buying (0/2): No evidence of meaningful net insider buying by CEO Hal Lawton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248.7% scores 0.22 against target 70% and floor 300% (1x weight) [4]. ROE of 39.5% far exceeds the 15% target, scoring 1.0 (2x weight). Revenue growth YoY of 2.3% scores 0.74 against target 10% and floor -20% (1x weight) [1]. Revenue growth 5yr CAGR is unavailable (excluded). Forward P/E of 16.2 is below the 20 target, scoring 1.0 (1x weight). Profit margin of 6.4% scores 0.32 against target 20% and floor 0% (1x weight). Forward PEG is unavailable (excluded). Weighted sum: 4.29 / max 6.0 = 0.714, infrastructure score = round(7.14) = 7. Daily dollar volume of $358M ($33.16 x 10.8M shares)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Tractor Supply exhibits a mixed-to-finite mindset. The company's 'Life Out Here' positioning and 86-year history demonstrate some enduring purpose, and Hal Lawton has invested in store growth and employee development with an ownership mindset (RSUs for store managers) [2]. However, the June 2024 reversal of ESG, DEI, and climate commitments under conservative activist pressure on social media reveals values-for-convenience rather than principled leadership — Sinek would view adopting and then abandoning stated commitments as the hallmark of a finite player who adjusts principles to match external pressure rather than holding to a Just Cause [3]. The company's strategic playbook remains steady store expansion with no transformative pivots or existential flexibility demonstrated.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'Life Out Here' is a consistent brand identity that shapes store format, product selection, and customer experience around the rural American lifestyle. It's more distinctive than a generic mission statement, and it has been maintained across leadership transitions [2]. However, it describes an existing customer base rather than a vision of a better future. Sinek would note that serving rural customers is a 'what we do' statement, not a 'where we're headed' cause. The ESG reversal under activist pressure demonstrates that corporate values are negotiable, undermining claims of purpose beyond profit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Tractor Supply invests in employee ownership through RSU grants to store managers and sends new managers through weeklong leadership and culture training in Nashville, both positive signals of organizational investment [2]. CEO Lawton has provided stable leadership since January 2020. The company has not engaged in significant layoffs. However, no specific employee satisfaction, turnover, or tenure data is publicly available to validate whether the culture creates genuine psychological safety at the store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Tractor Supply's competitive positioning focuses on its uniqueness — no direct peer operates at the same scale in rural lifestyle retail. Without a peer to learn from, the company defaults to emphasizing its own dominance rather than referencing competitors' strengths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Tractor Supply has operated the same rural lifestyle retail model for decades with no transformative pivot. Store expansion, format refreshes, and the Petsense acquisition are incremental evolutions of the core concept, not existential reinventions in service of a larger cause [1]. The company has not faced or responded to an existential threat that required fundamental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Lawton has continued investing in new store openings and employee development programs during a period of slowing comparable store sales and margin pressure, demonstrating commitment to long-term capacity building over short-term earnings optimization [1][2]. However, the June 2024 capitulation on ESG and DEI commitments under social media pressure is the opposite of courage in Sinek's framework — leadership abandoned stated values when the cost of holding them became apparent, regardless of which side one takes on the merits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Tractor Supply at $33.16 with a forward P/E of 16.2x offers defensive exposure to the resilient rural American consumer through the only scaled specialty retailer serving this demographic. The company's 2,300+ stores, dominant market position with no direct competitor at scale, and strong ROE of 39.5% reflect an efficient business model with durable competitive advantages [1][4]. Despite near-term headwinds — Q2 2026 comparable store sales declined 1.5% and full-year EPS guidance was cut to $1.90-$2.00 from $2.13-$2.23 — Tractor Supply's needs-based product mix (animal feed, livestock supplies, farm essentials) provides more demand stability than discretionary retail. The store expansion opportunity in underserved rural markets remains significant.</w:t>
      </w:r>
    </w:p>
    <w:p>
      <w:pPr>
        <w:spacing w:after="120"/>
      </w:pPr>
      <w:r>
        <w:rPr>
          <w:rFonts w:ascii="Calibri" w:hAnsi="Calibri"/>
          <w:b w:val="0"/>
          <w:color w:val="3A4A28"/>
          <w:sz w:val="20"/>
        </w:rPr>
        <w:t>The bear case centers on margin compression and a slowing growth trajectory. FY2026 EPS guidance of $1.90-$2.00 represents a meaningful decline from FY2025 levels, with Q2 diluted EPS falling 14.9% YoY to $0.69 [1]. Comparable store sales of -1.5% in Q2 signal consumer weakness in rural markets, and the revenue guidance cut from $16.14B-$16.45B down to $15.91B-$16.07B suggests management sees continued softness. The 248.7% debt-to-equity ratio is elevated for a retailer, limiting financial flexibility. Profit margins of 6.4% are structurally thin for a bricks-and-mortar retailer, leaving little room for error if input costs rise or promotional activity increases. The company's growth story has historically depended on new store openings rather than same-store momentum, and with 2,300+ stores, the white-space opportunity may be narrowing. The ESG controversy in 2024, while resolved in favor of the core customer, demonstrated governance risk when corporate values shift with social media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Dominant market position with no scaled competitor in rural lifestyle retail — 2,300+ stores across 49 states serving a needs-based customer that Home Depot and Walmart cannot fully address [1]</w:t>
      </w:r>
    </w:p>
    <w:p>
      <w:pPr>
        <w:spacing w:before="40" w:after="40"/>
        <w:ind w:left="283"/>
      </w:pPr>
      <w:r>
        <w:rPr>
          <w:rFonts w:ascii="Calibri" w:hAnsi="Calibri"/>
          <w:b/>
          <w:color w:val="4A6B25"/>
          <w:sz w:val="20"/>
        </w:rPr>
        <w:t xml:space="preserve">2. </w:t>
      </w:r>
      <w:r>
        <w:rPr>
          <w:rFonts w:ascii="Calibri" w:hAnsi="Calibri"/>
          <w:b w:val="0"/>
          <w:color w:val="3A4A28"/>
          <w:sz w:val="20"/>
        </w:rPr>
        <w:t>ROE of 39.5% reflects capital-efficient operations and a proven store expansion playbook that should drive continued unit growth in underserved rural markets [4]</w:t>
      </w:r>
    </w:p>
    <w:p>
      <w:pPr>
        <w:spacing w:before="40" w:after="40"/>
        <w:ind w:left="283"/>
      </w:pPr>
      <w:r>
        <w:rPr>
          <w:rFonts w:ascii="Calibri" w:hAnsi="Calibri"/>
          <w:b/>
          <w:color w:val="4A6B25"/>
          <w:sz w:val="20"/>
        </w:rPr>
        <w:t xml:space="preserve">3. </w:t>
      </w:r>
      <w:r>
        <w:rPr>
          <w:rFonts w:ascii="Calibri" w:hAnsi="Calibri"/>
          <w:b w:val="0"/>
          <w:color w:val="3A4A28"/>
          <w:sz w:val="20"/>
        </w:rPr>
        <w:t>Forward P/E of 16.2x at the low end of the company's historical range creates a potential entry point if comparable store sales stabilize in the second half of FY2026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EPS guidance cut to $1.90-$2.00 with Q2 comparable store sales declining 1.5% — the growth story is stalling as rural consumer spending weakens and new store productivity slows [1]</w:t>
      </w:r>
    </w:p>
    <w:p>
      <w:pPr>
        <w:spacing w:before="40" w:after="40"/>
        <w:ind w:left="283"/>
      </w:pPr>
      <w:r>
        <w:rPr>
          <w:rFonts w:ascii="Calibri" w:hAnsi="Calibri"/>
          <w:b/>
          <w:color w:val="4A6B25"/>
          <w:sz w:val="20"/>
        </w:rPr>
        <w:t xml:space="preserve">2. </w:t>
      </w:r>
      <w:r>
        <w:rPr>
          <w:rFonts w:ascii="Calibri" w:hAnsi="Calibri"/>
          <w:b w:val="0"/>
          <w:color w:val="3A4A28"/>
          <w:sz w:val="20"/>
        </w:rPr>
        <w:t>D/E of 248.7% represents elevated leverage for a specialty retailer, driven by lease obligations and share repurchase financing, constraining flexibility if consumer conditions deteriorate further [4]</w:t>
      </w:r>
    </w:p>
    <w:p>
      <w:pPr>
        <w:spacing w:before="40" w:after="40"/>
        <w:ind w:left="283"/>
      </w:pPr>
      <w:r>
        <w:rPr>
          <w:rFonts w:ascii="Calibri" w:hAnsi="Calibri"/>
          <w:b/>
          <w:color w:val="4A6B25"/>
          <w:sz w:val="20"/>
        </w:rPr>
        <w:t xml:space="preserve">3. </w:t>
      </w:r>
      <w:r>
        <w:rPr>
          <w:rFonts w:ascii="Calibri" w:hAnsi="Calibri"/>
          <w:b w:val="0"/>
          <w:color w:val="3A4A28"/>
          <w:sz w:val="20"/>
        </w:rPr>
        <w:t>June 2024 ESG and DEI reversal under conservative activist pressure creates governance risk — the company demonstrated that corporate commitments are negotiable under social media campaigns from either political direction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Tractor Supply's core business — physical retail of tangible goods (animal feed, fencing, power tools, livestock supplies, pet food) through brick-and-mortar stores in rural America — is structurally immune to AI disruption [1]. Customers need physical products delivered to or purchased at stores located near their farms, ranches, and rural properties. AI cannot replace the need for horse feed, chicken coops, or tractor attachments. The company's competitive advantage is store proximity, product knowledge, and rural community presence — all physical-world moats that AI cannot erode. E-commerce is a modest complement to in-store sales, and AI-driven retail tools (personalization, inventory management) would be efficiency enhancers, not displacement threats. AI Opportunity (0/1): Tractor Supply generates no revenue from AI products or services and has not disclosed AI-driven cost savings or AI-related business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Tractor Supply Q2 FY2026 Results — Net Sales $4.54B (+2.3% YoY), Comp Sales -1.5%, Diluted EPS $0.69 (-14.9%), Revised FY2026 Guidance $15.91B-$16.07B Revenue, $1.90-$2.00 EPS — BusinessWire, Hardware Retailing, July 2026</w:t>
      </w:r>
    </w:p>
    <w:p>
      <w:pPr>
        <w:spacing w:before="20" w:after="20"/>
        <w:ind w:left="170"/>
      </w:pPr>
      <w:r>
        <w:rPr>
          <w:rFonts w:ascii="Calibri" w:hAnsi="Calibri"/>
          <w:b/>
          <w:color w:val="4A6B25"/>
          <w:sz w:val="15"/>
        </w:rPr>
        <w:t xml:space="preserve">2. </w:t>
      </w:r>
      <w:r>
        <w:rPr>
          <w:rFonts w:ascii="Calibri" w:hAnsi="Calibri"/>
          <w:b w:val="0"/>
          <w:color w:val="3A4A28"/>
          <w:sz w:val="17"/>
        </w:rPr>
        <w:t>Tractor Supply Leadership &amp; Culture — CEO Hal Lawton (since Jan 2020), 'Life Out Here' Strategy, RSU Grants to Store Managers, Weeklong Nashville Training — NRF, Corporate IR, 2024-2026</w:t>
      </w:r>
    </w:p>
    <w:p>
      <w:pPr>
        <w:spacing w:before="20" w:after="20"/>
        <w:ind w:left="170"/>
      </w:pPr>
      <w:r>
        <w:rPr>
          <w:rFonts w:ascii="Calibri" w:hAnsi="Calibri"/>
          <w:b/>
          <w:color w:val="4A6B25"/>
          <w:sz w:val="15"/>
        </w:rPr>
        <w:t xml:space="preserve">3. </w:t>
      </w:r>
      <w:r>
        <w:rPr>
          <w:rFonts w:ascii="Calibri" w:hAnsi="Calibri"/>
          <w:b w:val="0"/>
          <w:color w:val="3A4A28"/>
          <w:sz w:val="17"/>
        </w:rPr>
        <w:t>Tractor Supply ESG Reversal — Eliminated DEI Roles, Dropped Carbon Emissions Goals, Ended Pride Event Sponsorship Under Conservative Activist Pressure (Robby Starbuck Campaign) — ESG Dive, HR Grapevine, National Review, June-July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TSCO key statistics, Forward P/E 16.2x, D/E 248.7%, ROE 39.5%, Profit Margin 6.4%, Avg Volume 10.8M shares,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