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TSM</w:t>
      </w:r>
      <w:r>
        <w:rPr>
          <w:rFonts w:ascii="Calibri" w:hAnsi="Calibri"/>
          <w:b/>
          <w:color w:val="1A2010"/>
          <w:sz w:val="40"/>
        </w:rPr>
        <w:t xml:space="preserve">  Taiwan Semiconductor Manufacturing Company Limited</w:t>
      </w:r>
    </w:p>
    <w:p>
      <w:pPr>
        <w:spacing w:after="120"/>
      </w:pPr>
      <w:r>
        <w:rPr>
          <w:rFonts w:ascii="Calibri" w:hAnsi="Calibri"/>
          <w:b/>
          <w:color w:val="6E8450"/>
          <w:sz w:val="18"/>
        </w:rPr>
        <w:t>GROWTH SLEEVE · 2026-08-29 · Inspire: 0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8F5E9" w:val="clear"/>
          </w:tcPr>
          <w:p>
            <w:pPr>
              <w:spacing w:before="40" w:after="40"/>
              <w:jc w:val="center"/>
            </w:pPr>
            <w:r>
              <w:rPr>
                <w:rFonts w:ascii="Calibri" w:hAnsi="Calibri"/>
                <w:b/>
                <w:color w:val="16A34A"/>
                <w:sz w:val="20"/>
              </w:rPr>
              <w:t>BUY</w:t>
            </w:r>
          </w:p>
        </w:tc>
      </w:tr>
    </w:tbl>
    <w:p>
      <w:pPr>
        <w:spacing w:before="120" w:after="200"/>
      </w:pPr>
      <w:r>
        <w:rPr>
          <w:rFonts w:ascii="Calibri" w:hAnsi="Calibri"/>
          <w:b/>
          <w:color w:val="1A2010"/>
          <w:sz w:val="80"/>
        </w:rPr>
        <w:t>92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NYSE · Taiwan</w:t>
      </w:r>
    </w:p>
    <w:p>
      <w:pPr>
        <w:spacing w:after="80"/>
      </w:pPr>
      <w:r>
        <w:rPr>
          <w:rFonts w:ascii="Calibri" w:hAnsi="Calibri"/>
          <w:b w:val="0"/>
          <w:color w:val="3A4A28"/>
          <w:sz w:val="20"/>
        </w:rPr>
        <w:t>Taiwan Semiconductor Manufacturing Company (TSMC) is the world's largest dedicated semiconductor foundry, manufacturing chips for fabless design companies including NVIDIA, Apple, AMD, Qualcomm, and Google. TSMC invented the pure-play foundry model in 1987 and holds approximately 60% of global foundry market share and over 90% of advanced nodes (sub-7nm). Q2 2026 revenue of $40.2B (up 33.7% YoY in USD), with management raising full-year revenue growth guidance to above 40% in USD terms. Led by Chairman and CEO C.C. Wei.</w:t>
      </w:r>
    </w:p>
    <w:p>
      <w:r>
        <w:rPr>
          <w:rFonts w:ascii="Calibri" w:hAnsi="Calibri"/>
          <w:b/>
          <w:color w:val="6E8450"/>
          <w:sz w:val="18"/>
        </w:rPr>
        <w:t>80,000 Employees · https://www.tsmc.com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TSMC has executed multiple transformative manufacturing breakthroughs — successfully ramping 5nm (2020), 3nm (2023), and now 2nm (N2), each pushing the physical limits of semiconductor manufacturing [1]. The pivot from mobile-centric to AI/HPC-dominant revenue mix (now 66% of revenue in Q2 2026, up 20% QoQ) represents a fundamental business transformation [1][2]. Q2 2026 revenue grew 33.7% YoY in USD to $40.2B, with management raising full-year USD growth guidance to above 40% [2]. AI Deployment (2/2): TSMC IS the AI infrastructure — the company manufactures virtually every cutting-edge AI chip in the world, including NVIDIA H100/H200/B200, AMD MI300X, Google TPU, and Apple Neural Engine [1][3]. Management expects AI chip revenue to grow at a mid-to-high-50% CAGR from 2024 to 2029 [2]. Market Share (2/2): Approximately 60% of global foundry market share and over 90% of advanced node (sub-7nm) manufacturing — the most dominant position in any critical technology supply chain [3]. No competitor (Samsung, Intel) has closed the technology gap. Product Pipeline (2/2): N2 (2nm) process in volume production ramp with customer engagement, capex guidance raised to $18.75-20B amid strong AI chip demand [1][2]. Specific nodes, dates, and customer commitments with clear revenue visibility. R&amp;D Intensity (1/1): Approximately $6B+ annual R&amp;D spend placing TSMC at the top of semiconductor industry R&amp;D intensity, continuously advancing the frontier of physics in chip manufacturing.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(4/4): TSMC's founding purpose — 'to be the trusted technology and capacity provider of the global logic IC industry' — was genuinely transformative when Morris Chang invented the pure-play foundry model in 1987 [4]. This purpose has been validated by 39 years of relentless execution through the PC era, mobile revolution, and now the AI age. The foundry model IS the competitive advantage — it reshaped the entire semiconductor industry and created the fabless ecosystem that enabled NVIDIA, Qualcomm, and hundreds of innovators. The mission survived founder Chang's retirement and thrived under C.C. Wei's leadership. Sinek would cite this as a canonical example of purpose driving competitive advantage [4]. Community Impact (1/2): TSMC operates the TSMC Education and Culture Foundation, supports STEM education in Taiwan, and has been selected for the Dow Jones Sustainability Index for 22 consecutive years [8]. Major employer and taxpayer in Hsinchu Science Park. General corporate philanthropy without distinctively scaled programs cited with specific dollar amounts. Employee Retention (1/2): Extraordinary leadership continuity — C.C. Wei (28+ years at TSMC), seamless transition from founder Morris Chang [3][4]. Engineering teams operate with high autonomy and produce consistently world-class results. However, Taiwan fab culture demands intense work schedules, and junior employees face work-life balance challenges. Insider Buying (2/2): Exceptional insider conviction in 2026 — over 30 insider buys since early July including the CEO, CFO, COO, numerous SVPs and VPs, totaling nearly $800K in purchases [6]. VP Yuan Lipen bought 2,350 shares at $73.58-$74.50 in August 2026 outside a 10b5-1 plan. Broad-based C-suite buying is a resounding affirmation of the forward outlook [6].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(forced from portfolios.json) with world-class metrics across nearly every dimension. D/E of 17% reflects an impregnable balance sheet [5]. ROE of 39.97% demonstrates exceptional capital efficiency driven by Q2 2026 gross margin above 55% [1][5]. Revenue growth YoY of approximately 36% in USD terms and five-year revenue CAGR of 22.89% both score perfectly, far exceeding the 10% targets [1][2][5]. Profit margin of 49.92% is extraordinary for a manufacturing company [5]. Forward P/E of 27.1 (GuruFocus, August 2026) scores 0.82 — slightly above the 20 target, reflecting the stock's premium valuation at $417.69 [5]. Forward PEG of 1.55 (using 5-year EBITDA growth of 23.4%) scores 0.73, the primary drag on the infrastructure score [5]. Raised capex guidance to $18.75-20B underpins future growth capacity [2]. Liquidity floor cleared: 12.6M avg volume x $417.69 = $5.26B daily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9</w:t>
      </w:r>
      <w:r>
        <w:rPr>
          <w:rFonts w:ascii="Calibri" w:hAnsi="Calibri"/>
          <w:b w:val="0"/>
          <w:color w:val="9DAF88"/>
          <w:sz w:val="18"/>
        </w:rPr>
        <w:t xml:space="preserve"> /10</w:t>
      </w:r>
    </w:p>
    <w:p>
      <w:pPr>
        <w:spacing w:after="120"/>
      </w:pPr>
      <w:r>
        <w:rPr>
          <w:rFonts w:ascii="Calibri" w:hAnsi="Calibri"/>
          <w:b w:val="0"/>
          <w:color w:val="3A4A28"/>
          <w:sz w:val="18"/>
        </w:rPr>
        <w:t>TSMC is a textbook infinite game player by Sinek's standards. Morris Chang's 1987 founding vision of the pure-play foundry model — enabling the world's chip designers to innovate rather than building their own fabs — has been validated by 39 years of consistent execution through the PC era, mobile revolution, and now the AI age [3][4]. The company invests $18-20B+ annually in capex ahead of demand, consistently sacrificing near-term margins for long-term technological leadership. C.C. Wei's continuation of this philosophy, broad insider buying ($800K from 30+ executives in July-August 2026), and the smooth leadership transition from founder Chang reflect an organization built to endure beyond any individual [6].</w:t>
      </w:r>
    </w:p>
    <w:p>
      <w:pPr>
        <w:spacing w:before="200" w:after="40"/>
      </w:pPr>
      <w:r>
        <w:rPr>
          <w:rFonts w:ascii="Calibri" w:hAnsi="Calibri"/>
          <w:b/>
          <w:color w:val="1A2010"/>
          <w:sz w:val="22"/>
        </w:rPr>
        <w:t>Just Cause</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(3/3): TSMC's founding purpose — to be the trusted manufacturing partner enabling the world's chip designers to innovate — was genuinely transformative when Morris Chang invented it in 1987 [4]. This Just Cause has been validated by 39 years of relentless execution. The purpose survived Morris Chang's retirement, thrived through the 2008 financial crisis, the mobile revolution, and semiconductor downturns, and has only strengthened as TSMC became irreplaceable global AI infrastructure. Strategic decisions clearly trace back to it: investing $40B+ in Arizona fabs for supply resilience, spending $18-20B annually on capex to maintain technology leadership, and prioritizing customer success ('Our customers' success is TSMC's success') over vertical integration [4]. Sinek would cite TSMC alongside Apple as a canonical example of Just Cause driving competitive advantage.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TSMC's leadership continuity is extraordinary — C.C. Wei has spent 28+ years at TSMC, and the seamless transition from founder Morris Chang demonstrates deep organizational trust at the senior level [3][4]. Engineering teams in Hsinchu produce consistently world-class manufacturing outcomes with high autonomy. The broad-based insider buying (30+ executives in July-August 2026) signals collective organizational confidence [6]. However, Taiwan fab culture is known for intense work demands, and some employees face work-life balance challenges at junior levels, creating tension with full psychological safety across all organizational layers.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C.C. Wei's public philosophy embraces the infinite competitive mindset. TSMC acknowledges Samsung and Intel as competitors whose process technology improvements push TSMC to innovate faster [3][4]. Rather than seeking to destroy rivals, TSMC uses competitive pressure to maintain its technology lead while emphasizing that a healthy semiconductor ecosystem benefits all participants. The company's positioning — 'our customers' success is TSMC's success' — explicitly rejects zero-sum competitive framing. This is precisely the worthy rival mindset Sinek describes.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TSMC has fundamentally reinvented itself multiple times — from a specialty foundry making commodity chips in the 1990s to the world's most advanced semiconductor manufacturer today [3][4]. The company abandoned its PC-era business mix to become the dominant mobile chip manufacturer (Apple iPhone partnership), then pivoted again to become the essential AI infrastructure provider (NVIDIA partnership). HPC/AI now represents 66% of revenue, up from a minor segment five years ago [1][2]. Each transformation required billions in investment and years of execution risk, but was driven by the Just Cause of enabling customer innovation rather than desperation. The current AI pivot is the latest transformative shift in a pattern of purpose-driven reinvention.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TSMC demonstrates a sustained pattern of courageous investment. The company raised 2026 capex guidance to $18.75-20B — among the largest capital spending programs of any company on Earth — investing in next-generation 2nm manufacturing capacity years before demand fully materializes [1][2]. The Arizona fab investment ($40B+) sacrifices near-term margins (U.S. manufacturing costs significantly higher than Taiwan) for long-term geopolitical resilience and customer diversification. During the 2023 semiconductor downturn, TSMC maintained R&amp;D and capex investment when competitors cut back. Over 30 executives bought company stock in July-August 2026, putting personal capital behind the strategic vision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TSMC is the most important company in the global AI supply chain, manufacturing virtually every cutting-edge AI chip and benefiting from insatiable demand. Q2 2026 delivered $40.2B revenue (up 33.7% YoY in USD) with net income of NT$706.56B (up 77.4% YoY), both exceeding expectations [1][2]. Management raised full-year 2026 USD revenue growth guidance to above 40% (up from above 30%), driven by N2 ramp and AI demand acceleration [2]. HPC/AI now represents 66% of revenue and surged 20% QoQ, confirming TSMC as the primary beneficiary of AI infrastructure buildout [1]. The balance sheet is impregnable — D/E of 17% with ~40% ROE — supporting $18.75-20B in annual capex investment for next-generation manufacturing [5]. Over 30 C-suite executives and directors purchased stock in July-August 2026, totaling nearly $800K in personal conviction [6]. At 27.1x forward P/E with 36% revenue growth and 50% profit margins, the valuation is reasonable for a company with near-monopolistic control over the world's most critical technology supply chain.</w:t>
      </w:r>
    </w:p>
    <w:p>
      <w:pPr>
        <w:spacing w:after="120"/>
      </w:pPr>
      <w:r>
        <w:rPr>
          <w:rFonts w:ascii="Calibri" w:hAnsi="Calibri"/>
          <w:b w:val="0"/>
          <w:color w:val="3A4A28"/>
          <w:sz w:val="20"/>
        </w:rPr>
        <w:t>The dominant risk is geopolitical — TSMC's concentration in Taiwan creates an existential vulnerability to cross-strait tensions with China [8]. A military conflict, blockade, or sustained tension could disrupt global chip supply and TSMC's operations, which represent 80%+ of the world's advanced chip manufacturing capacity. The $40B+ Arizona fab investment partially mitigates this but represents only a fraction of Taiwan capacity and operates at higher costs. At $417.69 per ADR share and ~$2T market cap with 31.15x trailing P/E, TSMC is priced for continued hypergrowth — any deceleration in AI infrastructure spending (customer capex fatigue, model efficiency improvements reducing compute needs, or macro recession) could trigger significant multiple compression. Forward P/E of 27.1 and PEG of 1.55 suggest limited margin of safety if the above-40% growth rate normalizes. Taiwan's energy infrastructure constraints (LNG import dependency, renewable energy targets lagging schedule) could limit future fab expansion capacity [8]. The cyclical history of semiconductors warns against extrapolating peak growth rates.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Full-year 2026 USD revenue growth guidance raised to above 40% (from above 30%), driven by accelerating AI/HPC demand that now represents 66% of revenue with 20% QoQ growth in Q2 2026 [1][2]</w:t>
      </w:r>
    </w:p>
    <w:p>
      <w:pPr>
        <w:spacing w:before="40" w:after="40"/>
        <w:ind w:left="283"/>
      </w:pPr>
      <w:r>
        <w:rPr>
          <w:rFonts w:ascii="Calibri" w:hAnsi="Calibri"/>
          <w:b/>
          <w:color w:val="4A6B25"/>
          <w:sz w:val="20"/>
        </w:rPr>
        <w:t xml:space="preserve">2. </w:t>
      </w:r>
      <w:r>
        <w:rPr>
          <w:rFonts w:ascii="Calibri" w:hAnsi="Calibri"/>
          <w:b w:val="0"/>
          <w:color w:val="3A4A28"/>
          <w:sz w:val="20"/>
        </w:rPr>
        <w:t>2nm (N2) process volume production ramp with customer engagement from Apple, NVIDIA, and hyperscalers, enabling next-generation AI chip performance at higher margins with raised capex of $18.75-20B [1][2]</w:t>
      </w:r>
    </w:p>
    <w:p>
      <w:pPr>
        <w:spacing w:before="40" w:after="40"/>
        <w:ind w:left="283"/>
      </w:pPr>
      <w:r>
        <w:rPr>
          <w:rFonts w:ascii="Calibri" w:hAnsi="Calibri"/>
          <w:b/>
          <w:color w:val="4A6B25"/>
          <w:sz w:val="20"/>
        </w:rPr>
        <w:t xml:space="preserve">3. </w:t>
      </w:r>
      <w:r>
        <w:rPr>
          <w:rFonts w:ascii="Calibri" w:hAnsi="Calibri"/>
          <w:b w:val="0"/>
          <w:color w:val="3A4A28"/>
          <w:sz w:val="20"/>
        </w:rPr>
        <w:t>Broad-based insider buying — over 30 executives including CEO, CFO, COO, SVPs, and directors purchasing nearly $800K in stock in July-August 2026, representing exceptional collective management conviction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Geopolitical risk remains existential — Taiwan Strait tensions, potential Chinese military action, or a selective quarantine could disrupt TSMC's core manufacturing operations representing 80%+ of global advanced chip capacity</w:t>
      </w:r>
    </w:p>
    <w:p>
      <w:pPr>
        <w:spacing w:before="40" w:after="40"/>
        <w:ind w:left="283"/>
      </w:pPr>
      <w:r>
        <w:rPr>
          <w:rFonts w:ascii="Calibri" w:hAnsi="Calibri"/>
          <w:b/>
          <w:color w:val="4A6B25"/>
          <w:sz w:val="20"/>
        </w:rPr>
        <w:t xml:space="preserve">2. </w:t>
      </w:r>
      <w:r>
        <w:rPr>
          <w:rFonts w:ascii="Calibri" w:hAnsi="Calibri"/>
          <w:b w:val="0"/>
          <w:color w:val="3A4A28"/>
          <w:sz w:val="20"/>
        </w:rPr>
        <w:t>AI infrastructure spending cyclicality — customer capex fatigue among hyperscalers, advances in model efficiency reducing compute requirements, or macro recession could decelerate the above-40% revenue growth that justifies the $2T valuation</w:t>
      </w:r>
    </w:p>
    <w:p>
      <w:pPr>
        <w:spacing w:before="40" w:after="40"/>
        <w:ind w:left="283"/>
      </w:pPr>
      <w:r>
        <w:rPr>
          <w:rFonts w:ascii="Calibri" w:hAnsi="Calibri"/>
          <w:b/>
          <w:color w:val="4A6B25"/>
          <w:sz w:val="20"/>
        </w:rPr>
        <w:t xml:space="preserve">3. </w:t>
      </w:r>
      <w:r>
        <w:rPr>
          <w:rFonts w:ascii="Calibri" w:hAnsi="Calibri"/>
          <w:b w:val="0"/>
          <w:color w:val="3A4A28"/>
          <w:sz w:val="20"/>
        </w:rPr>
        <w:t>Forward P/E of 27.1 and PEG of 1.55 at $417.69 per ADR provide limited margin of safety — any deceleration from current growth rates could trigger multiple compression from the 31.15x trailing PE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TSMC IS AI infrastructure — the company manufactures virtually every cutting-edge AI chip in existence, including NVIDIA's H100/H200/B200 GPUs, AMD MI300X accelerators, Google TPUs, and Apple Neural Engine chips [1][3]. AI cannot disrupt TSMC because TSMC is what makes AI physically possible. Each new AI model generation requires more compute, which requires more advanced chips, which only TSMC can manufacture at scale. CEO C.C. Wei stated that 'Taiwan will continue to have a significant advantage in the AI industry for the foreseeable future' [3]. HPC/AI now represents 66% of Q2 2026 revenue and surged 20% QoQ, confirming TSMC as the primary beneficiary of AI adoption [1][2]. The company is structurally immune to AI disruption — every AI expansion thesis depends on TSMC capacity. AI Opportunity (1/1): AI/HPC is TSMC's largest and fastest-growing revenue segment, with management expecting AI chip revenue to grow at a mid-to-high-50% CAGR from 2024-2029 [2]. Q2 2026 revenue of $40.2B was driven primarily by AI demand, and management raised full-year growth guidance to above 40% in USD terms citing AI momentum [2]. TSMC generates tens of billions in quantifiable AI-related revenue annually.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TSMC Q2 2026 Earnings Release and Revenue Report — SEC Form 6-K, July 2026</w:t>
      </w:r>
    </w:p>
    <w:p>
      <w:pPr>
        <w:spacing w:before="20" w:after="20"/>
        <w:ind w:left="170"/>
      </w:pPr>
      <w:r>
        <w:rPr>
          <w:rFonts w:ascii="Calibri" w:hAnsi="Calibri"/>
          <w:b/>
          <w:color w:val="4A6B25"/>
          <w:sz w:val="15"/>
        </w:rPr>
        <w:t xml:space="preserve">2. </w:t>
      </w:r>
      <w:r>
        <w:rPr>
          <w:rFonts w:ascii="Calibri" w:hAnsi="Calibri"/>
          <w:b w:val="0"/>
          <w:color w:val="3A4A28"/>
          <w:sz w:val="17"/>
        </w:rPr>
        <w:t>TSMC Raises 2026 Revenue Growth Outlook to Above 40% — Yahoo Finance / MacDailyNews, July 2026</w:t>
      </w:r>
    </w:p>
    <w:p>
      <w:pPr>
        <w:spacing w:before="20" w:after="20"/>
        <w:ind w:left="170"/>
      </w:pPr>
      <w:r>
        <w:rPr>
          <w:rFonts w:ascii="Calibri" w:hAnsi="Calibri"/>
          <w:b/>
          <w:color w:val="4A6B25"/>
          <w:sz w:val="15"/>
        </w:rPr>
        <w:t xml:space="preserve">3. </w:t>
      </w:r>
      <w:r>
        <w:rPr>
          <w:rFonts w:ascii="Calibri" w:hAnsi="Calibri"/>
          <w:b w:val="0"/>
          <w:color w:val="3A4A28"/>
          <w:sz w:val="17"/>
        </w:rPr>
        <w:t>TSMC CEO C.C. Wei on AI Demand and Competitive Position — CEO India Magazine / Kavout, 2026</w:t>
      </w:r>
    </w:p>
    <w:p>
      <w:pPr>
        <w:spacing w:before="20" w:after="20"/>
        <w:ind w:left="170"/>
      </w:pPr>
      <w:r>
        <w:rPr>
          <w:rFonts w:ascii="Calibri" w:hAnsi="Calibri"/>
          <w:b/>
          <w:color w:val="4A6B25"/>
          <w:sz w:val="15"/>
        </w:rPr>
        <w:t xml:space="preserve">4. </w:t>
      </w:r>
      <w:r>
        <w:rPr>
          <w:rFonts w:ascii="Calibri" w:hAnsi="Calibri"/>
          <w:b w:val="0"/>
          <w:color w:val="3A4A28"/>
          <w:sz w:val="17"/>
        </w:rPr>
        <w:t>TSMC Mission, Vision, and Core Values — Comparably / TSMC Investor Relations,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 Yahoo Finance — TSM Key Statistics and Financial Data, accessed August 2026</w:t>
      </w:r>
    </w:p>
    <w:p>
      <w:pPr>
        <w:spacing w:before="20" w:after="20"/>
        <w:ind w:left="170"/>
      </w:pPr>
      <w:r>
        <w:rPr>
          <w:rFonts w:ascii="Calibri" w:hAnsi="Calibri"/>
          <w:b/>
          <w:color w:val="4A6B25"/>
          <w:sz w:val="15"/>
        </w:rPr>
        <w:t xml:space="preserve">6. </w:t>
      </w:r>
      <w:r>
        <w:rPr>
          <w:rFonts w:ascii="Calibri" w:hAnsi="Calibri"/>
          <w:b w:val="0"/>
          <w:color w:val="3A4A28"/>
          <w:sz w:val="17"/>
        </w:rPr>
        <w:t>TSMC Insider Buying Activity July-August 2026 — Globe and Mail / TipRanks / StockCircle, August 2026</w:t>
      </w:r>
    </w:p>
    <w:p>
      <w:pPr>
        <w:spacing w:before="20" w:after="20"/>
        <w:ind w:left="170"/>
      </w:pPr>
      <w:r>
        <w:rPr>
          <w:rFonts w:ascii="Calibri" w:hAnsi="Calibri"/>
          <w:b/>
          <w:color w:val="4A6B25"/>
          <w:sz w:val="15"/>
        </w:rPr>
        <w:t xml:space="preserve">7. </w:t>
      </w:r>
      <w:r>
        <w:rPr>
          <w:rFonts w:ascii="Calibri" w:hAnsi="Calibri"/>
          <w:b w:val="0"/>
          <w:color w:val="3A4A28"/>
          <w:sz w:val="17"/>
        </w:rPr>
        <w:t>TSMC Dividend History — StockAnalysis / WallStreetZen, accessed August 2026</w:t>
      </w:r>
    </w:p>
    <w:p>
      <w:pPr>
        <w:spacing w:before="20" w:after="20"/>
        <w:ind w:left="170"/>
      </w:pPr>
      <w:r>
        <w:rPr>
          <w:rFonts w:ascii="Calibri" w:hAnsi="Calibri"/>
          <w:b/>
          <w:color w:val="4A6B25"/>
          <w:sz w:val="15"/>
        </w:rPr>
        <w:t xml:space="preserve">8. </w:t>
      </w:r>
      <w:r>
        <w:rPr>
          <w:rFonts w:ascii="Calibri" w:hAnsi="Calibri"/>
          <w:b w:val="0"/>
          <w:color w:val="3A4A28"/>
          <w:sz w:val="17"/>
        </w:rPr>
        <w:t>TSMC ESG and Sustainability Report — esg.tsmc.com / Sustainability Magazine,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