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w:t>
      </w:r>
      <w:r>
        <w:rPr>
          <w:rFonts w:ascii="Calibri" w:hAnsi="Calibri"/>
          <w:b/>
          <w:color w:val="1A2010"/>
          <w:sz w:val="40"/>
        </w:rPr>
        <w:t xml:space="preserve">  Tenaris S.A.</w:t>
      </w:r>
    </w:p>
    <w:p>
      <w:pPr>
        <w:spacing w:after="120"/>
      </w:pPr>
      <w:r>
        <w:rPr>
          <w:rFonts w:ascii="Calibri" w:hAnsi="Calibri"/>
          <w:b/>
          <w:color w:val="6E8450"/>
          <w:sz w:val="18"/>
        </w:rPr>
        <w:t>DIVIDEND SLEEVE · 2026-09-17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Luxembourg</w:t>
      </w:r>
    </w:p>
    <w:p>
      <w:pPr>
        <w:spacing w:after="80"/>
      </w:pPr>
      <w:r>
        <w:rPr>
          <w:rFonts w:ascii="Calibri" w:hAnsi="Calibri"/>
          <w:b w:val="0"/>
          <w:color w:val="3A4A28"/>
          <w:sz w:val="20"/>
        </w:rPr>
        <w:t>Tenaris S.A. manufactures and supplies seamless and welded steel tubes (OCTG, line pipe, and mechanical/industrial tubing) and related services for the oil and gas, energy, and industrial sectors, delivering products globally through its integrated Rig Direct service model backed by mills in Argentina, Italy, Mexico, and other regions.</w:t>
      </w:r>
    </w:p>
    <w:p>
      <w:r>
        <w:rPr>
          <w:rFonts w:ascii="Calibri" w:hAnsi="Calibri"/>
          <w:b/>
          <w:color w:val="6E8450"/>
          <w:sz w:val="18"/>
        </w:rPr>
        <w:t>25,000 Employees · https://www.tenaris.com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Tenaris holds a leading global position in premium OCTG connections and operates the Rig Direct model, which integrates manufacturing, logistics, and just-in-time delivery to drillers, alongside digital well-integrity monitoring services (Tenaris iON)[1]. The company registered full-year 2025 net sales of roughly $12 billion with Q4 2025 sales up 5% year-over-year, evidencing continued commercial execution, but revenue and earnings are essentially flat-to-declining into 2026 guidance as Middle East shipments soften and raw material costs rise, tempering the innovation narrative to steady incremental improvement rather than category-redefining disruption[1][2].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As the flagship of Grupo Techint, Tenaris funds long-running technical education and community programs (e.g., UOCRA/Universidad Tecnológica initiatives) tied to its mill communities in Argentina and Mexico, and the company completed a smooth, publicly telegraphed CEO succession in 2026 after 24 years under Paolo Rocca, signaling institutional stability[3]. Evidence of broader employee engagement or retention metrics is limited in public disclosure, and the company operates in a heavy-industry, carbon-intensive supply chain that constrains a higher inspiration score.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Tenaris carries minimal leverage (D/E ~2.6%) and trades at an undemanding forward P/E of 13.6x against a 4.2% dividend yield, reflecting a fortress balance sheet built through the 2021-2023 energy upcycle[4][5]. However, revenue has been roughly flat over the past three fiscal years (2022-2025) and profitability is falling (2025 earnings growth -4.9%) as the oil-country tubular goods cycle cools, and the payout schedule shifted from semi-annual to a single annual dividend in 2025, muting the near-term dividend-growth trend even as the five-year payout more than doubled[1][6].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Tenaris exhibits infinite-game traits through multi-decade capital discipline, a deliberate leadership succession plan executed in 2026, and continued investment through commodity cycles, tempered by exposure to a finite, cyclical fossil-fuel end market and limited public evidence on internal team empowerment.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Tenaris frames its purpose around enabling reliable energy supply and safety in extreme drilling environments, and is exploring hydrogen and CCUS-compatible tubular applications, but its cause remains tightly bound to fossil-fuel extraction demand[1].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Tenaris operates large unionized industrial workforces across Argentina, Mexico, and Italy with generally stable labor relations and low public reports of major labor unrest, though granular trust/engagement data is not disclosed.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Tenaris competes on technical differentiation (premium connections, Rig Direct service) against Vallourec and regional OCTG producers rather than through price wars, maintaining rational, share-preserving competitive behavior through the 2025-2026 downcycle[1].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company has diversified geographically (Middle East, Vaca Muerta shale, U.S. shale) and is evaluating new-energy tubular applications, and its 2026 CEO transition to Gabriel Podskubka was explicitly framed as a long-term leadership plan rather than a reactive change[3].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Executing a planned, non-crisis-driven CEO succession after 24 years under a controlling-family chairman is a notable act of institutional courage that many family-controlled industrials fail to accomplish[3].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Tenaris is a low-leverage, cash-generative global leader in premium steel tubulars, trading at a reasonable 13.6x forward earnings with a 4.2% dividend yield underpinned by a fortress balance sheet built during the 2021-2023 upcycle[1][4]. The 2026 CEO transition from Paolo Rocca to Gabriel Podskubka was executed as a planned continuity move rather than a crisis response, preserving the long-term strategic orientation of the Techint-controlled franchise[3]. Near-term fundamentals are decelerating, however, with full-year 2025 revenue roughly flat and 2026 guidance calling for stable-to-soft demand as Middle East shipments slow and raw material costs rise[1][2].</w:t>
      </w:r>
    </w:p>
    <w:p>
      <w:pPr>
        <w:spacing w:after="120"/>
      </w:pPr>
      <w:r>
        <w:rPr>
          <w:rFonts w:ascii="Calibri" w:hAnsi="Calibri"/>
          <w:b w:val="0"/>
          <w:color w:val="3A4A28"/>
          <w:sz w:val="20"/>
        </w:rPr>
        <w:t>The investment case rests on Tenaris's structural cost and technology advantages (Rig Direct, premium connections) sustaining share and margin through the current oil-country tubular goods downcycle, with upside from a recovery in Argentina's Vaca Muerta shale activity and stabilizing U.S. shale completions in the back half of 2026[1][2]. The dividend, while attractive, shifted from a semi-annual to single annual payment structure in 2025, which investors should treat as a format change rather than a cut, but it does reduce visibility into the underlying growth trend[6]. At a 65/100 overall score, Tenaris merits a HOLD: balance-sheet quality and capital returns are strong, but cyclical earnings deceleration and limited near-term innovation catalysts cap upside versus a BUY.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Recovery in Argentina's Vaca Muerta shale drilling activity in H2 2026 as guided by management[2]</w:t>
      </w:r>
    </w:p>
    <w:p>
      <w:pPr>
        <w:spacing w:before="40" w:after="40"/>
        <w:ind w:left="283"/>
      </w:pPr>
      <w:r>
        <w:rPr>
          <w:rFonts w:ascii="Calibri" w:hAnsi="Calibri"/>
          <w:b/>
          <w:color w:val="4A6B25"/>
          <w:sz w:val="20"/>
        </w:rPr>
        <w:t xml:space="preserve">2. </w:t>
      </w:r>
      <w:r>
        <w:rPr>
          <w:rFonts w:ascii="Calibri" w:hAnsi="Calibri"/>
          <w:b w:val="0"/>
          <w:color w:val="3A4A28"/>
          <w:sz w:val="20"/>
        </w:rPr>
        <w:t>Stabilization of U.S. shale completions and OCTG demand supporting volume in 2026[2]</w:t>
      </w:r>
    </w:p>
    <w:p>
      <w:pPr>
        <w:spacing w:before="40" w:after="40"/>
        <w:ind w:left="283"/>
      </w:pPr>
      <w:r>
        <w:rPr>
          <w:rFonts w:ascii="Calibri" w:hAnsi="Calibri"/>
          <w:b/>
          <w:color w:val="4A6B25"/>
          <w:sz w:val="20"/>
        </w:rPr>
        <w:t xml:space="preserve">3. </w:t>
      </w:r>
      <w:r>
        <w:rPr>
          <w:rFonts w:ascii="Calibri" w:hAnsi="Calibri"/>
          <w:b w:val="0"/>
          <w:color w:val="3A4A28"/>
          <w:sz w:val="20"/>
        </w:rPr>
        <w:t>Continued execution of the 2026 CEO transition without disruption to capital allocation discipline[3]</w:t>
      </w:r>
    </w:p>
    <w:p>
      <w:pPr>
        <w:spacing w:before="40" w:after="40"/>
        <w:ind w:left="283"/>
      </w:pPr>
      <w:r>
        <w:rPr>
          <w:rFonts w:ascii="Calibri" w:hAnsi="Calibri"/>
          <w:b/>
          <w:color w:val="4A6B25"/>
          <w:sz w:val="20"/>
        </w:rPr>
        <w:t xml:space="preserve">4. </w:t>
      </w:r>
      <w:r>
        <w:rPr>
          <w:rFonts w:ascii="Calibri" w:hAnsi="Calibri"/>
          <w:b w:val="0"/>
          <w:color w:val="3A4A28"/>
          <w:sz w:val="20"/>
        </w:rPr>
        <w:t>Potential new-energy tubular demand (hydrogen, CCUS) as a longer-term diversification lever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softness in Middle East shipments and rising raw material costs pressuring 2026 margins[2]</w:t>
      </w:r>
    </w:p>
    <w:p>
      <w:pPr>
        <w:spacing w:before="40" w:after="40"/>
        <w:ind w:left="283"/>
      </w:pPr>
      <w:r>
        <w:rPr>
          <w:rFonts w:ascii="Calibri" w:hAnsi="Calibri"/>
          <w:b/>
          <w:color w:val="4A6B25"/>
          <w:sz w:val="20"/>
        </w:rPr>
        <w:t xml:space="preserve">2. </w:t>
      </w:r>
      <w:r>
        <w:rPr>
          <w:rFonts w:ascii="Calibri" w:hAnsi="Calibri"/>
          <w:b w:val="0"/>
          <w:color w:val="3A4A28"/>
          <w:sz w:val="20"/>
        </w:rPr>
        <w:t>Oil price volatility directly driving rig count and OCTG order cyclicality</w:t>
      </w:r>
    </w:p>
    <w:p>
      <w:pPr>
        <w:spacing w:before="40" w:after="40"/>
        <w:ind w:left="283"/>
      </w:pPr>
      <w:r>
        <w:rPr>
          <w:rFonts w:ascii="Calibri" w:hAnsi="Calibri"/>
          <w:b/>
          <w:color w:val="4A6B25"/>
          <w:sz w:val="20"/>
        </w:rPr>
        <w:t xml:space="preserve">3. </w:t>
      </w:r>
      <w:r>
        <w:rPr>
          <w:rFonts w:ascii="Calibri" w:hAnsi="Calibri"/>
          <w:b w:val="0"/>
          <w:color w:val="3A4A28"/>
          <w:sz w:val="20"/>
        </w:rPr>
        <w:t>Dividend payment format shift (semi-annual to annual) reducing near-term dividend-growth visibility[6]</w:t>
      </w:r>
    </w:p>
    <w:p>
      <w:pPr>
        <w:spacing w:before="40" w:after="40"/>
        <w:ind w:left="283"/>
      </w:pPr>
      <w:r>
        <w:rPr>
          <w:rFonts w:ascii="Calibri" w:hAnsi="Calibri"/>
          <w:b/>
          <w:color w:val="4A6B25"/>
          <w:sz w:val="20"/>
        </w:rPr>
        <w:t xml:space="preserve">4. </w:t>
      </w:r>
      <w:r>
        <w:rPr>
          <w:rFonts w:ascii="Calibri" w:hAnsi="Calibri"/>
          <w:b w:val="0"/>
          <w:color w:val="3A4A28"/>
          <w:sz w:val="20"/>
        </w:rPr>
        <w:t>Heavy reliance on fossil-fuel capex cycles limits diversification away from a finite end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functions as an enabler rather than a threat for Tenaris: predictive maintenance, digital well-monitoring (Tenaris iON), and AI-assisted quality control in mill operations support margin and safety, while the core business of manufacturing physical steel tubulars for wellbores is not substitutable by software or generative AI[1]. Disruption risk instead comes from the energy transition and rig-count cyclicality, not from AI-native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Earnings call transcript: Tenaris Q4 2025 sees revenue rise 5% YoY, Investing.com, https://www.investing.com/news/transcripts/earnings-call-transcript-tenaris-q4-2025-sees-revenue-rise-5-yoy-93CH-4513774</w:t>
      </w:r>
    </w:p>
    <w:p>
      <w:pPr>
        <w:spacing w:before="20" w:after="20"/>
        <w:ind w:left="170"/>
      </w:pPr>
      <w:r>
        <w:rPr>
          <w:rFonts w:ascii="Calibri" w:hAnsi="Calibri"/>
          <w:b/>
          <w:color w:val="4A6B25"/>
          <w:sz w:val="15"/>
        </w:rPr>
        <w:t xml:space="preserve">2. </w:t>
      </w:r>
      <w:r>
        <w:rPr>
          <w:rFonts w:ascii="Calibri" w:hAnsi="Calibri"/>
          <w:b w:val="0"/>
          <w:color w:val="3A4A28"/>
          <w:sz w:val="17"/>
        </w:rPr>
        <w:t>Tenaris Announces 2026 First Quarter Results, ir.tenaris.com</w:t>
      </w:r>
    </w:p>
    <w:p>
      <w:pPr>
        <w:spacing w:before="20" w:after="20"/>
        <w:ind w:left="170"/>
      </w:pPr>
      <w:r>
        <w:rPr>
          <w:rFonts w:ascii="Calibri" w:hAnsi="Calibri"/>
          <w:b/>
          <w:color w:val="4A6B25"/>
          <w:sz w:val="15"/>
        </w:rPr>
        <w:t xml:space="preserve">3. </w:t>
      </w:r>
      <w:r>
        <w:rPr>
          <w:rFonts w:ascii="Calibri" w:hAnsi="Calibri"/>
          <w:b w:val="0"/>
          <w:color w:val="3A4A28"/>
          <w:sz w:val="17"/>
        </w:rPr>
        <w:t>Paolo Rocca Steps Down as Tenaris CEO After 24 Years, Remains Chairman, Bloomberg / Buenos Aires Herald, May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 Tenaris (BMV:TS) Stock Forecast &amp; Analyst Predictions</w:t>
      </w:r>
    </w:p>
    <w:p>
      <w:pPr>
        <w:spacing w:before="20" w:after="20"/>
        <w:ind w:left="170"/>
      </w:pPr>
      <w:r>
        <w:rPr>
          <w:rFonts w:ascii="Calibri" w:hAnsi="Calibri"/>
          <w:b/>
          <w:color w:val="4A6B25"/>
          <w:sz w:val="15"/>
        </w:rPr>
        <w:t xml:space="preserve">5. </w:t>
      </w:r>
      <w:r>
        <w:rPr>
          <w:rFonts w:ascii="Calibri" w:hAnsi="Calibri"/>
          <w:b w:val="0"/>
          <w:color w:val="3A4A28"/>
          <w:sz w:val="17"/>
        </w:rPr>
        <w:t>Yahoo Finance — TS key statistics,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Tenaris dividend payment history,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