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TTAN</w:t>
      </w:r>
      <w:r>
        <w:rPr>
          <w:rFonts w:ascii="Calibri" w:hAnsi="Calibri"/>
          <w:b/>
          <w:color w:val="1A2010"/>
          <w:sz w:val="40"/>
        </w:rPr>
        <w:t xml:space="preserve">  ServiceTitan, Inc.</w:t>
      </w:r>
    </w:p>
    <w:p>
      <w:pPr>
        <w:spacing w:after="120"/>
      </w:pPr>
      <w:r>
        <w:rPr>
          <w:rFonts w:ascii="Calibri" w:hAnsi="Calibri"/>
          <w:b/>
          <w:color w:val="6E8450"/>
          <w:sz w:val="18"/>
        </w:rPr>
        <w:t>GROWTH SLEEVE · 2026-09-21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ServiceTitan provides an end-to-end cloud-based software platform for the trades industry, managing business workflows including advertising, job scheduling, dispatching, estimates, invoicing, payment processing, and inventory management for home and commercial service contractors across HVAC, plumbing, electrical, and related trades. Founded by Ara Mahdessian and Vahe Kuzoyan in 2008, IPO'd in December 2024, and headquartered in Glendale, California. FY2026 revenue reached $961M (up 24.5% YoY) with ~9,500 active customers and $68.5B gross transaction volume.</w:t>
      </w:r>
    </w:p>
    <w:p>
      <w:r>
        <w:rPr>
          <w:rFonts w:ascii="Calibri" w:hAnsi="Calibri"/>
          <w:b/>
          <w:color w:val="6E8450"/>
          <w:sz w:val="18"/>
        </w:rPr>
        <w:t>5,500 Employees · https://www.servicetitan.com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ServiceTitan delivered FY2026 revenue of $961M, up 24.5% YoY, following FY2025's 26% growth to $771.9M, establishing a consistent 20%+ growth trajectory with trailing revenue surpassing $1B [1][2]. The platform has expanded from residential HVAC into commercial services, adding FinTech capabilities on $68.5B in gross transaction volume. The appointment of Abhishek Mathur (ex-Figma, Meta) as CTPO in March 2026 signals accelerating product velocity [3]. AI Deployment (2/2): AI is ServiceTitan's stated #1 priority — AI-powered Pro Products are used by thousands of contractors to automate back-office operations including dispatching, scheduling, and customer communications, delivering a reported 20% conversion increase [3]. Titan Intelligence applies machine learning to optimize technician routing, predict equipment failures, and automate marketing spend allocation. Market Share (2/2): ServiceTitan is the dominant vertical SaaS platform for the trades, with ~9,500 active customers (up 18% YoY) and no direct competitor approaching similar scale or feature breadth in the trades vertical [1]. Product Pipeline (1/2): Expansion into commercial and industrial verticals, AI-powered Pro Products, and the new CTPO's mandate to 'spearhead the company's evolution' represent meaningful pipeline, though the core residential platform remains the revenue engine [2][3]. R&amp;D Intensity (1/1): Heavy R&amp;D investment as reflected in the CTPO hire from Figma/Meta and AI-first product strategy; SaaS R&amp;D spending at 25-30% of revenue, well above software industry averages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Co-founders Mahdessian and Kuzoyan built ServiceTitan inspired by their immigrant parents who worked in the trades — their purpose of empowering an underserved $1.5T industry with modern technology has genuine authenticity and personal connection [3]. CEO Mahdessian has stated that developing strong company culture has been 'just as important to our success as the solutions we provide.' The mission is specific and heartfelt but the company has been public for less than two years. Community Impact (1/2): ServiceTitan enables small and mid-sized contractors to compete through technology, creating indirect economic empowerment across an underserved industry. No specific charitable foundation or community investment programs documented beyond the platform itself. Employee Retention (1/2): Glassdoor rating of 3.3/5 with CEO approval of 77%; culture described as 'dynamic, customer-obsessed, and results-driven' with core values of 'Dream Big, Achieve the Extraordinary, Be Humble' [3][4]. Significant departmental satisfaction disparity (Sales 99% vs. Customer Success 61% approval) suggests growth-stage cultural inconsistency. Insider Buying (1/2): Founders hold significant equity from pre-IPO ownership, aligning long-term incentives. No notable net insider purchasing post-IPO beyond standard lock-up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D/E of 2.975% is effectively debt-free, scoring 1.0 [5]. ROE of -8.3% reflects ongoing GAAP losses, scoring 0.0 (2x weight). Revenue growth YoY of 20.9% exceeds the 10% target, scoring 1.0 [1][2]. Estimated 5-year revenue CAGR of ~28% substantially exceeds the 10% target, scoring 1.0 (2x weight). Forward P/E of 33.27 is elevated but well below the 60 floor, scoring 0.67. Profit margin of -12.1% scores 0.0 [5]. Estimated Forward PEG of ~1.1 based on consensus growth estimates near 30% scores 0.95 (2x weight). Daily dollar volume of ~$124M provides ample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ServiceTitan's founding story and mission to modernize the trades industry reflect genuine long-term purpose, and sustained 20%+ revenue growth demonstrates execution. However, as a recently-public company (December 2024) with significant stock decline from $82 to $55, the tension between quarterly earnings pressure and long-term platform investment is intensifying. The willingness to stay private for 16 years and invest in AI over GAAP profitability shows infinite-game commitment, but cultural inconsistency across departments and untested public-company track record limit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founding story is authentically lived — Mahdessian and Kuzoyan built ServiceTitan after watching their immigrant parents run trade businesses with pen and paper, creating a genuine 'operating system for the trades' purpose that extends beyond profit [3]. The mission to bring enterprise-grade technology to an underserved $1.5T industry is specific, inclusive, and resilient. Strategic decisions (staying private for 16 years, investing in AI for contractors) trace back to this purpose. However, with only 1.5 years as a public company, the purpose has not been validated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ServiceTitan fosters core values ('Dream Big, Achieve the Extraordinary, Be Humble') and maintains engineering talent across offices in Glendale, Atlanta, and Armenia [3][4]. CEO approval at 77% on Glassdoor and the company's pre-IPO reputation as a top private employer are positive signals. However, the 3.3/5 overall Glassdoor rating and stark departmental divide — 99% approval from Sales but only 61% from Customer Success — suggest inconsistent psychological safety. The CTPO replacement and stock price decline may create additional retention challenges.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ServiceTitan competes against Housecall Pro, Jobber, and FieldEdge with a learning-oriented approach — the company's competitive strategy focuses on building the most comprehensive platform and embracing AI rather than attacking competitors [1][3]. Management language centers on expanding the category and empowering more contractors, reflecting competitive self-awareness and continuous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ServiceTitan has significantly evolved from its original scheduling tool into a comprehensive operating system encompassing payments (FinTech on $68.5B volume), marketing, inventory, and AI-powered operations [1]. The expansion into commercial services and the addition of AI Pro Products represent meaningful business model expansion. However, the core mission of serving the trades with software has remained constant and the company has not demonstrated willingness to fundamentally reinvent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ServiceTitan chose to stay private for 16 years, investing in product development and market leadership over premature liquidity — a decision requiring patience and conviction [1]. The company continues to prioritize growth and AI investment over GAAP profitability (net margin -12.1%) while transitioning toward positive operating income. However, the 32% stock decline from SMA50 of $81 to $55 creates pressure that may force short-term optimization, and the IPO timing at premium valuation was at least partially opportunistic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ServiceTitan at 33x forward earnings with 20.9% revenue growth and dominant market position in the $1.5T trades vertical offers a compelling growth-at-a-reasonable-price opportunity after the stock's 32% decline from its 50-day SMA of $81 to $55 [5]. FY2026 revenue of $961M (up 24.5% YoY) with trailing revenue surpassing $1B demonstrates durable demand, and ~9,500 active customers with high switching costs provide recurring subscription revenue [1][2]. AI is the company's #1 priority, with Titan Intelligence and Pro Products already generating a 20% conversion increase for contractors — the appointment of a CTPO from Figma and Meta signals accelerating product innovation [3]. The nearly debt-free balance sheet (D/E of 3%) provides financial flexibility, and profit margins improved from -23.9% to -12.1% over the past year, suggesting a path to GAAP profitability.</w:t>
      </w:r>
    </w:p>
    <w:p>
      <w:pPr>
        <w:spacing w:after="120"/>
      </w:pPr>
      <w:r>
        <w:rPr>
          <w:rFonts w:ascii="Calibri" w:hAnsi="Calibri"/>
          <w:b w:val="0"/>
          <w:color w:val="3A4A28"/>
          <w:sz w:val="20"/>
        </w:rPr>
        <w:t>The bear case centers on persistent GAAP unprofitability and post-IPO valuation compression. ServiceTitan reported a -12.1% profit margin with ROE still negative at -8.3%, and while non-GAAP metrics show improvement, significant stock-based compensation flatters operating performance [5]. At 33x forward earnings, any deceleration in growth below 20% could trigger further multiple compression — the stock has already declined from its IPO highs. The trades vertical, while large, is fragmented and price-sensitive, and economic slowdowns in construction and housing directly impact contractor spending on software. ServiceTitan's own S-1 identified AI from Microsoft and OpenAI as a risk factor, acknowledging that LLMs could potentially commoditize core platform functions [4]. Additionally, Glassdoor's 3.3/5 rating with stark departmental disparities (Sales 99% vs. Customer Success 61%) suggests cultural challenges that could affect retention as stock-based compensation declines in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Pro Products driving ARPU expansion with 20% conversion increase for contractor customers — new CTPO from Figma/Meta mandated to accelerate AI product evolution across the ~9,500 customer base [2][3]</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accelerating as profit margin improved from -23.9% to -12.1% and non-GAAP operating income guided to $48-53M, with potential re-rating from growth-at-all-costs to profitable growth SaaS valuation [1][2]</w:t>
      </w:r>
    </w:p>
    <w:p>
      <w:pPr>
        <w:spacing w:before="40" w:after="40"/>
        <w:ind w:left="283"/>
      </w:pPr>
      <w:r>
        <w:rPr>
          <w:rFonts w:ascii="Calibri" w:hAnsi="Calibri"/>
          <w:b/>
          <w:color w:val="4A6B25"/>
          <w:sz w:val="20"/>
        </w:rPr>
        <w:t xml:space="preserve">3. </w:t>
      </w:r>
      <w:r>
        <w:rPr>
          <w:rFonts w:ascii="Calibri" w:hAnsi="Calibri"/>
          <w:b w:val="0"/>
          <w:color w:val="3A4A28"/>
          <w:sz w:val="20"/>
        </w:rPr>
        <w:t>Commercial and industrial vertical expansion opening significantly larger addressable market beyond core residential trades, with FY2027 revenue guidance of $910-920M implying continued 20%+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losses with -12.1% profit margin and -8.3% ROE raise questions about sustainable profitability, especially as stock-based compensation remains a major expense excluded from non-GAAP metrics [5]</w:t>
      </w:r>
    </w:p>
    <w:p>
      <w:pPr>
        <w:spacing w:before="40" w:after="40"/>
        <w:ind w:left="283"/>
      </w:pPr>
      <w:r>
        <w:rPr>
          <w:rFonts w:ascii="Calibri" w:hAnsi="Calibri"/>
          <w:b/>
          <w:color w:val="4A6B25"/>
          <w:sz w:val="20"/>
        </w:rPr>
        <w:t xml:space="preserve">2. </w:t>
      </w:r>
      <w:r>
        <w:rPr>
          <w:rFonts w:ascii="Calibri" w:hAnsi="Calibri"/>
          <w:b w:val="0"/>
          <w:color w:val="3A4A28"/>
          <w:sz w:val="20"/>
        </w:rPr>
        <w:t>Housing and construction cycle sensitivity — trade contractor spending on software is discretionary and correlated with residential and commercial construction activity, creating macroeconomic vulnerability</w:t>
      </w:r>
    </w:p>
    <w:p>
      <w:pPr>
        <w:spacing w:before="40" w:after="40"/>
        <w:ind w:left="283"/>
      </w:pPr>
      <w:r>
        <w:rPr>
          <w:rFonts w:ascii="Calibri" w:hAnsi="Calibri"/>
          <w:b/>
          <w:color w:val="4A6B25"/>
          <w:sz w:val="20"/>
        </w:rPr>
        <w:t xml:space="preserve">3. </w:t>
      </w:r>
      <w:r>
        <w:rPr>
          <w:rFonts w:ascii="Calibri" w:hAnsi="Calibri"/>
          <w:b w:val="0"/>
          <w:color w:val="3A4A28"/>
          <w:sz w:val="20"/>
        </w:rPr>
        <w:t>Post-IPO stock decline from $81 SMA50 to $55 current price and insider selling during lockup expirations create shareholder pressure, while ServiceTitan's own S-1 identified LLM commoditization as a risk factor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ServiceTitan faces minimal AI substitution risk because it IS the AI disruptor in its vertical — the company builds AI tools that automate workflows for physical trade businesses (HVAC, plumbing, electrical) that cannot be displaced by software [3]. The underlying trades industry is inherently physical and labor-intensive, providing a durable moat against pure-AI disruption. The company's data advantage from ~9,500 active customers and $68.5B in transaction volume provides a significant training data moat. The primary risk, acknowledged in ServiceTitan's own S-1 filing, is that LLMs from Microsoft and OpenAI could eventually commoditize scheduling, dispatching, and invoicing functions, but deep workflow integration and high switching costs mitigate this [4]. AI Opportunity (1/1): AI is ServiceTitan's #1 strategic priority with Titan Intelligence already deployed across dispatching optimization, predictive maintenance, automated marketing, and back-office automation via Pro Products delivering a 20% conversion increase for contractors [2][3]. The new CTPO from Figma/Meta was hired specifically to accelerate AI-driven product evolution.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ServiceTitan FY2025 Annual Results — Revenue $771.9M, up 26% YoY; GAAP net loss $239.1M; non-GAAP net income $16.5M — investors.servicetitan.com, March 2025</w:t>
      </w:r>
    </w:p>
    <w:p>
      <w:pPr>
        <w:spacing w:before="20" w:after="20"/>
        <w:ind w:left="170"/>
      </w:pPr>
      <w:r>
        <w:rPr>
          <w:rFonts w:ascii="Calibri" w:hAnsi="Calibri"/>
          <w:b/>
          <w:color w:val="4A6B25"/>
          <w:sz w:val="15"/>
        </w:rPr>
        <w:t xml:space="preserve">2. </w:t>
      </w:r>
      <w:r>
        <w:rPr>
          <w:rFonts w:ascii="Calibri" w:hAnsi="Calibri"/>
          <w:b w:val="0"/>
          <w:color w:val="3A4A28"/>
          <w:sz w:val="17"/>
        </w:rPr>
        <w:t>ServiceTitan FY2026 Annual Results — Revenue $960.97M, up 24.5% YoY; FY2027 revenue guidance $910-920M with 27% Q1 growth — Seeking Alpha, investors.servicetitan.com, March 2026</w:t>
      </w:r>
    </w:p>
    <w:p>
      <w:pPr>
        <w:spacing w:before="20" w:after="20"/>
        <w:ind w:left="170"/>
      </w:pPr>
      <w:r>
        <w:rPr>
          <w:rFonts w:ascii="Calibri" w:hAnsi="Calibri"/>
          <w:b/>
          <w:color w:val="4A6B25"/>
          <w:sz w:val="15"/>
        </w:rPr>
        <w:t xml:space="preserve">3. </w:t>
      </w:r>
      <w:r>
        <w:rPr>
          <w:rFonts w:ascii="Calibri" w:hAnsi="Calibri"/>
          <w:b w:val="0"/>
          <w:color w:val="3A4A28"/>
          <w:sz w:val="17"/>
        </w:rPr>
        <w:t>ServiceTitan CTPO Appointment (Abhishek Mathur, ex-Figma/Meta), AI Strategy as #1 Priority, Pro Products, Corporate Culture — servicetitan.com press releases, Built In, March 2026</w:t>
      </w:r>
    </w:p>
    <w:p>
      <w:pPr>
        <w:spacing w:before="20" w:after="20"/>
        <w:ind w:left="170"/>
      </w:pPr>
      <w:r>
        <w:rPr>
          <w:rFonts w:ascii="Calibri" w:hAnsi="Calibri"/>
          <w:b/>
          <w:color w:val="4A6B25"/>
          <w:sz w:val="15"/>
        </w:rPr>
        <w:t xml:space="preserve">4. </w:t>
      </w:r>
      <w:r>
        <w:rPr>
          <w:rFonts w:ascii="Calibri" w:hAnsi="Calibri"/>
          <w:b w:val="0"/>
          <w:color w:val="3A4A28"/>
          <w:sz w:val="17"/>
        </w:rPr>
        <w:t>ServiceTitan S-1 Filing, Founding Story, Glassdoor Reviews — SEC Edgar, PRNewsWire, Glassdoor,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TTAN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