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TTE</w:t>
      </w:r>
      <w:r>
        <w:rPr>
          <w:rFonts w:ascii="Calibri" w:hAnsi="Calibri"/>
          <w:b/>
          <w:color w:val="1A2010"/>
          <w:sz w:val="40"/>
        </w:rPr>
        <w:t xml:space="preserve">  TotalEnergies SE</w:t>
      </w:r>
    </w:p>
    <w:p>
      <w:pPr>
        <w:spacing w:after="120"/>
      </w:pPr>
      <w:r>
        <w:rPr>
          <w:rFonts w:ascii="Calibri" w:hAnsi="Calibri"/>
          <w:b/>
          <w:color w:val="6E8450"/>
          <w:sz w:val="18"/>
        </w:rPr>
        <w:t>DIVIDEND SLEEVE · 2026-09-16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NYSE · France</w:t>
      </w:r>
    </w:p>
    <w:p>
      <w:pPr>
        <w:spacing w:after="80"/>
      </w:pPr>
      <w:r>
        <w:rPr>
          <w:rFonts w:ascii="Calibri" w:hAnsi="Calibri"/>
          <w:b w:val="0"/>
          <w:color w:val="3A4A28"/>
          <w:sz w:val="20"/>
        </w:rPr>
        <w:t>TotalEnergies SE is a global integrated multi-energy company operating across five segments: Exploration &amp; Production, Integrated LNG, Integrated Power, Refining &amp; Chemicals, and Marketing &amp; Services. Rebranded from TOTAL SE in June 2021 to signal its strategic pivot toward multi-energy. Q2 2026 revenue reached $57.1B (+28% YoY) with adjusted net income of $6B (+68% YoY), driven by higher oil prices (+$17.90/bbl QoQ) and 19% improvement in European refining margins. The board lifted the interim dividend 5.9% and authorized $1.5B in Q3 buybacks, targeting a 40% payout ratio for FY2026.</w:t>
      </w:r>
    </w:p>
    <w:p>
      <w:r>
        <w:rPr>
          <w:rFonts w:ascii="Calibri" w:hAnsi="Calibri"/>
          <w:b/>
          <w:color w:val="6E8450"/>
          <w:sz w:val="18"/>
        </w:rPr>
        <w:t>94,847 Employees · https://totalenergies.com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TotalEnergies executed a meaningful strategic pivot over the last five years, rebranding from TOTAL SE and launching the Integrated Power segment alongside legacy hydrocarbon operations [1]. The company has grown renewable capacity to 24 GW+ and committed $5B+ annually to low-carbon investments, creating genuine new revenue streams. Q2 2026 delivered $57.1B revenue (+28% YoY) and Q1 showed 4% organic production growth [2]. However, oil and gas still represent ~70% of capital allocation, making this an evolution rather than transformation. AI Deployment (1/2): Partnership with Mistral AI (2025) deploying generative AI across 1,000 researchers, plus Microsoft 365 Copilot rolled out across the workforce since 2024 for operational optimization [3]. AI is used for seismic interpretation, predictive maintenance, and refinery control rooms, but no quantified revenue impact has been publicly disclosed. Market Share (1/2): World's second-largest LNG trader and top-5 publicly traded integrated energy company, with 4% organic production growth in Q1 2026 and ~50 Mtpa LNG portfolio [2]. Not defining a new category but a meaningful player in energy transition. Product Pipeline (1/2): Visible project pipeline including Suriname offshore development, Mozambique LNG restart, Papua LNG, and renewable capacity target of 100 GW by 2030 with specific solar and offshore wind timelines [1]. R&amp;D Intensity (1/1): R&amp;D investment of ~€1.1B plus $5B+ annual low-carbon capex positions TotalEnergies above integrated oil peers in total innovation spending, with focus on carbon capture, hydrogen, biofuels, and battery storage technologies [6].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TotalEnergies' stated ambition — 'to provide the world with more affordable, more available, and cleaner energy' — is specific, connects the company's work to global energy transition and human welfare, and identifies both stakeholders and a distinctive approach [6]. However, the purpose is recent (post-2021 rebrand) and hasn't been validated through decades of consistent execution. Community Impact (1/2): TotalEnergies Foundation supports education, youth employment, and cultural heritage across 130+ countries, with specific programs including Solar Home Systems providing off-grid energy to rural African communities. However, these programs exist alongside significant controversies including the EACOP pipeline displacing communities in Uganda and Tanzania [5]. Employee Retention (1/2): Glassdoor rating of 4.0/5 across 7,600+ reviews with 3.9/5 on culture and values and 82% recommending the workplace suggests adequate satisfaction [3]. CEO Pouyanné's 12-year tenure provides leadership stability, but no specific voluntary turnover or average tenure data is publicly available. Insider Buying (0/2): No evidence of meaningful net insider buying by CEO Patrick Pouyanné or other executives in recent filings; compensation is primarily through equity vesting programs.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48.05% is well below the 70% target, reflecting conservative balance sheet management [4]. Forward P/E of 8.99x is deeply discounted versus U.S. peers (Exxon ~13x, Chevron ~12x), reflecting European energy sector discount. Revenue growth YoY of 27.8% is exceptional, driven by oil price recovery and improved refining margins in Q2 2026 [1]. ROE of 14.48% narrowly misses the 15% target. Key drags are profit margin of 9.08% (typical for integrated oil companies with massive revenue denominators but well below the 20% target) and an estimated 5-year revenue CAGR of ~1% reflecting extreme oil price cyclicality. Dividend metrics are improved: payout ratio of 49.3% is above the 40% target but down significantly from prior periods, with 30+ consecutive years of payments and approximately 6 years of consecutive growth. Estimated 5-year dividend growth CAGR of ~5.5% approaches the 6% target [2]. Stock clears the liquidity floor with ~$154M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TotalEnergies demonstrates a genuinely mixed infinite/finite mindset. The 2021 rebranding and $5B+ annual low-carbon investment signal a long-term vision beyond fossil fuels, but the company continues investing heavily in upstream oil exploration ($9B+ capex) while optimizing near-term shareholder payouts. CEO Pouyanné has articulated a multi-energy transition narrative but has also openly considered a U.S. listing to access higher valuations — a move prioritizing market perception over mission [5]. The company plays to keep playing in the energy transition but hedges every bet.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TotalEnergies' purpose of providing 'more affordable, more available, and cleaner energy' is a legitimate business strategy but reads as pragmatic positioning rather than a Just Cause in Sinek's sense [6]. The energy transition framing is genuine — they are investing in renewables and decarbonization — but simultaneous expansion of oil and gas production suggests the cause bends to market conditions rather than driving decisions through difficulty. A true Just Cause would lead to exiting fossil fuels even when profitable; TotalEnergies is hedging both futures.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4.0/5 rating across 7,600+ reviews with 82% recommending the workplace and 3.9/5 culture score indicates adequate organizational trust [3]. CEO Pouyanné's 12-year tenure and strong French engineering culture provide leadership stability and continuity. The Mistral AI partnership and Copilot deployment suggest openness to technological change. However, operations across 130+ countries make uniform culture difficult, and labor disputes at French refineries indicate trust is functional rather than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TotalEnergies' competitive language consistently frames peers' strengths as motivation for improvement rather than targets for destruction. CEO Pouyanné has openly acknowledged Shell's LNG scale and BP's early renewables positioning as competitive catalysts, and the Integrated Power segment was partly inspired by peer strategies [1]. The company benchmarks its energy transition against rivals as a tool for self-improvement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TOTAL (pure oil and gas) to TotalEnergies (multi-energy) with dedicated Integrated Power and Integrated LNG segments represents meaningful strategic evolution [6]. The company has entered entirely new markets — renewable electricity, battery storage, EV charging — and targets 100 GW renewable capacity by 2030. However, this is an incremental hedge rather than a transformative abandonment of the core business; oil and gas still dominate capital allocation and cash flow generation. Sinek would see prudent adaptation, not existential courage.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TotalEnergies has committed $5B+ annually to low-carbon investments despite uncertain near-term returns, and maintained its dividend through the 2020 oil price crash when peers (BP, Shell) cut — demonstrating financial courage [2]. The 5.9% interim dividend increase during commodity volatility shows confidence. However, simultaneous expansion of upstream oil production and consideration of a U.S. listing primarily for valuation arbitrage reflect finite-game optimization alongside long-term investment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TotalEnergies at 8.99x forward earnings is the most attractively valued integrated energy major, trading at a significant discount to U.S. peers (Exxon ~13x, Chevron ~12x) despite comparable operational quality [4]. Q2 2026 adjusted net income surged 68% to $6B on higher oil prices and refining margins, while Q1 delivered $5.4B with $8.6B cash flow and 4% organic production growth [1][2]. The 4.55% dividend yield with improved 49% payout ratio provides substantial income, and the 5.9% interim dividend increase signals management confidence in sustained cash generation. D/E of 48% is conservative for the sector, and the multi-energy transition — 24 GW+ renewable capacity, growing Integrated Power segment, Mistral AI partnership — positions the company for long-term relevance as global energy demand grows, driven in part by AI data center electricity consumption [3].</w:t>
      </w:r>
    </w:p>
    <w:p>
      <w:pPr>
        <w:spacing w:after="120"/>
      </w:pPr>
      <w:r>
        <w:rPr>
          <w:rFonts w:ascii="Calibri" w:hAnsi="Calibri"/>
          <w:b w:val="0"/>
          <w:color w:val="3A4A28"/>
          <w:sz w:val="20"/>
        </w:rPr>
        <w:t>The bear case centers on commodity cyclicality, European valuation discount, and ESG controversy. A sustained Brent decline below $60/bbl would compress upstream earnings — which still represent ~75% of total — and pressure the dividend commitment and $1.5B quarterly buyback program [1]. Profit margin of 9.08% reflects the capital-intensive, low-margin reality of integrated energy, and the 5-year revenue CAGR of ~1% exposes vulnerability to oil price cycles [4]. The persistent European listing discount may be structural; CEO Pouyanné's consideration of a U.S. listing acknowledges this disadvantage but a move would be disruptive and uncertain [5]. The EACOP pipeline in East Africa has drawn sustained environmental and human rights criticism, with French courts considering climate liability claims, creating ongoing reputational and legal risk [5]. ROE of 14.48% narrowly misses the 15% target. The Inspire Impact Score of 0 (MIXED) with no attributions provides limited guidance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Oil price tailwinds with Brent above $80/bbl supporting sustained cash generation — Q2 2026 average selling price rose $17.90/bbl QoQ — combined with $1.5B quarterly buybacks and 5.9% dividend increase targeting 40% payout ratio for FY2026 [1]</w:t>
      </w:r>
    </w:p>
    <w:p>
      <w:pPr>
        <w:spacing w:before="40" w:after="40"/>
        <w:ind w:left="283"/>
      </w:pPr>
      <w:r>
        <w:rPr>
          <w:rFonts w:ascii="Calibri" w:hAnsi="Calibri"/>
          <w:b/>
          <w:color w:val="4A6B25"/>
          <w:sz w:val="20"/>
        </w:rPr>
        <w:t xml:space="preserve">2. </w:t>
      </w:r>
      <w:r>
        <w:rPr>
          <w:rFonts w:ascii="Calibri" w:hAnsi="Calibri"/>
          <w:b w:val="0"/>
          <w:color w:val="3A4A28"/>
          <w:sz w:val="20"/>
        </w:rPr>
        <w:t>Integrated Power segment scaling toward 100 GW renewable capacity by 2030 could re-rate TotalEnergies from a cyclical oil major to a diversified energy utility, potentially unlocking the European valuation discount [6]</w:t>
      </w:r>
    </w:p>
    <w:p>
      <w:pPr>
        <w:spacing w:before="40" w:after="40"/>
        <w:ind w:left="283"/>
      </w:pPr>
      <w:r>
        <w:rPr>
          <w:rFonts w:ascii="Calibri" w:hAnsi="Calibri"/>
          <w:b/>
          <w:color w:val="4A6B25"/>
          <w:sz w:val="20"/>
        </w:rPr>
        <w:t xml:space="preserve">3. </w:t>
      </w:r>
      <w:r>
        <w:rPr>
          <w:rFonts w:ascii="Calibri" w:hAnsi="Calibri"/>
          <w:b w:val="0"/>
          <w:color w:val="3A4A28"/>
          <w:sz w:val="20"/>
        </w:rPr>
        <w:t>AI data center electricity demand boom directly benefits TotalEnergies' Integrated Power generation and LNG volumes — data center power consumption projected to reach 8% of U.S. electricity by 2030 per Goldman Sachs estimates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Brent crude below $60/barrel would compress upstream earnings generating ~75% of total profits, pressure the $1.5B quarterly buyback program, and test the 30-year consecutive dividend streak despite the improved 49% payout ratio [1][2]</w:t>
      </w:r>
    </w:p>
    <w:p>
      <w:pPr>
        <w:spacing w:before="40" w:after="40"/>
        <w:ind w:left="283"/>
      </w:pPr>
      <w:r>
        <w:rPr>
          <w:rFonts w:ascii="Calibri" w:hAnsi="Calibri"/>
          <w:b/>
          <w:color w:val="4A6B25"/>
          <w:sz w:val="20"/>
        </w:rPr>
        <w:t xml:space="preserve">2. </w:t>
      </w:r>
      <w:r>
        <w:rPr>
          <w:rFonts w:ascii="Calibri" w:hAnsi="Calibri"/>
          <w:b w:val="0"/>
          <w:color w:val="3A4A28"/>
          <w:sz w:val="20"/>
        </w:rPr>
        <w:t>EACOP pipeline in Uganda/Tanzania faces ongoing environmental litigation in French courts and activist pressure that could delay completion, increase costs, and damage institutional investor appetite under ESG mandates [5]</w:t>
      </w:r>
    </w:p>
    <w:p>
      <w:pPr>
        <w:spacing w:before="40" w:after="40"/>
        <w:ind w:left="283"/>
      </w:pPr>
      <w:r>
        <w:rPr>
          <w:rFonts w:ascii="Calibri" w:hAnsi="Calibri"/>
          <w:b/>
          <w:color w:val="4A6B25"/>
          <w:sz w:val="20"/>
        </w:rPr>
        <w:t xml:space="preserve">3. </w:t>
      </w:r>
      <w:r>
        <w:rPr>
          <w:rFonts w:ascii="Calibri" w:hAnsi="Calibri"/>
          <w:b w:val="0"/>
          <w:color w:val="3A4A28"/>
          <w:sz w:val="20"/>
        </w:rPr>
        <w:t>European listing discount may be structural — EU regulatory burden (CSRD, carbon border adjustments) adds compliance costs U.S. peers avoid, and the considered U.S. dual listing creates execution risk and strategic distraction without guaranteed valuation improvement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TotalEnergies' core business — extracting, refining, transporting, and distributing physical energy commodities — is structurally immune to AI disruption [3]. Oil rigs, refineries, LNG tankers, pipelines, and solar farms require massive physical infrastructure that AI cannot replace. AI data center proliferation is dramatically increasing global electricity demand, directly benefiting power producers — Goldman Sachs estimates AI data centers will consume 8% of U.S. electricity by 2030 [1]. Regulatory complexity across 130+ countries creates additional moats. The only exposure is in back-office and trading functions where AI could reduce headcount, but these are a small fraction of total cost structure. AI Opportunity (0/1): While TotalEnergies deploys AI internally through the Mistral AI partnership and Microsoft Copilot for operational optimization, the company does not generate separately identifiable AI revenue [3]. AI is a cost-efficiency tool, not a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TotalEnergies Q2 2026 Earnings — Revenue $57.1B (+28% YoY), Adjusted Net Income $6B (+68%), Cash Flow $9.8B, Oil Price +$17.90/bbl QoQ, Investing.com / IndexBox, July 2026</w:t>
      </w:r>
    </w:p>
    <w:p>
      <w:pPr>
        <w:spacing w:before="20" w:after="20"/>
        <w:ind w:left="170"/>
      </w:pPr>
      <w:r>
        <w:rPr>
          <w:rFonts w:ascii="Calibri" w:hAnsi="Calibri"/>
          <w:b/>
          <w:color w:val="4A6B25"/>
          <w:sz w:val="15"/>
        </w:rPr>
        <w:t xml:space="preserve">2. </w:t>
      </w:r>
      <w:r>
        <w:rPr>
          <w:rFonts w:ascii="Calibri" w:hAnsi="Calibri"/>
          <w:b w:val="0"/>
          <w:color w:val="3A4A28"/>
          <w:sz w:val="17"/>
        </w:rPr>
        <w:t>TotalEnergies Q1 2026 Results — Adjusted Net Income $5.4B, Cash Flow $8.6B, 4% Organic Production Growth, 5.9% Interim Dividend Increase, Morningstar / TotalEnergies Newsroom, April 2026</w:t>
      </w:r>
    </w:p>
    <w:p>
      <w:pPr>
        <w:spacing w:before="20" w:after="20"/>
        <w:ind w:left="170"/>
      </w:pPr>
      <w:r>
        <w:rPr>
          <w:rFonts w:ascii="Calibri" w:hAnsi="Calibri"/>
          <w:b/>
          <w:color w:val="4A6B25"/>
          <w:sz w:val="15"/>
        </w:rPr>
        <w:t xml:space="preserve">3. </w:t>
      </w:r>
      <w:r>
        <w:rPr>
          <w:rFonts w:ascii="Calibri" w:hAnsi="Calibri"/>
          <w:b w:val="0"/>
          <w:color w:val="3A4A28"/>
          <w:sz w:val="17"/>
        </w:rPr>
        <w:t>TotalEnergies AI Strategy — Microsoft Copilot Deployment (2024), Mistral AI Partnership (2025), Glassdoor 4.0/5 (7,600+ Reviews), Microsoft Customer Stories / Klover.ai /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TTE Key Statistics: Forward P/E 8.99x, D/E 48.05%, ROE 14.48%, Profit Margin 9.08%, Dividend Yield 4.55%,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TotalEnergies ESG Controversies — EACOP Pipeline Criticism, French Court Climate Cases, U.S. Listing Consideration, Bloomberg / Peters &amp; Peters / SeSAMM, 2024-2026</w:t>
      </w:r>
    </w:p>
    <w:p>
      <w:pPr>
        <w:spacing w:before="20" w:after="20"/>
        <w:ind w:left="170"/>
      </w:pPr>
      <w:r>
        <w:rPr>
          <w:rFonts w:ascii="Calibri" w:hAnsi="Calibri"/>
          <w:b/>
          <w:color w:val="4A6B25"/>
          <w:sz w:val="15"/>
        </w:rPr>
        <w:t xml:space="preserve">6. </w:t>
      </w:r>
      <w:r>
        <w:rPr>
          <w:rFonts w:ascii="Calibri" w:hAnsi="Calibri"/>
          <w:b w:val="0"/>
          <w:color w:val="3A4A28"/>
          <w:sz w:val="17"/>
        </w:rPr>
        <w:t>TotalEnergies Innovation &amp; Multi-Energy Strategy — 100 GW Renewable Target by 2030, R&amp;D Investment, TotalEnergies.com,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