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TTI</w:t>
      </w:r>
      <w:r>
        <w:rPr>
          <w:rFonts w:ascii="Calibri" w:hAnsi="Calibri"/>
          <w:b/>
          <w:color w:val="1A2010"/>
          <w:sz w:val="40"/>
        </w:rPr>
        <w:t xml:space="preserve">  TETRA Technologies, Inc.</w:t>
      </w:r>
    </w:p>
    <w:p>
      <w:pPr>
        <w:spacing w:after="120"/>
      </w:pPr>
      <w:r>
        <w:rPr>
          <w:rFonts w:ascii="Calibri" w:hAnsi="Calibri"/>
          <w:b/>
          <w:color w:val="6E8450"/>
          <w:sz w:val="18"/>
        </w:rPr>
        <w:t>GROWTH SLEEVE · 2026-09-14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Diversified energy services and industrial chemicals company operating through two segments: Completion Fluids &amp; Products (completion fluids, heavy brines, calcium chloride for oil and gas operations) and Water &amp; Flowback Services (water management for upstream oil and gas). The company is expanding into bromine production for energy storage applications as part of its ONE TETRA 2030 strategic initiative. Q2 2026 delivered record international revenue with $185.7 million in total revenue (+7% YoY), and the company is led by new CEO Roger Argus appointed in 2026.</w:t>
      </w:r>
    </w:p>
    <w:p>
      <w:r>
        <w:rPr>
          <w:rFonts w:ascii="Calibri" w:hAnsi="Calibri"/>
          <w:b/>
          <w:color w:val="6E8450"/>
          <w:sz w:val="18"/>
        </w:rPr>
        <w:t>3,000 Employees · https://onetetra.com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TETRA has executed two significant strategic initiatives in recent years — the ONE TETRA 2030 transformation program and the expansion into bromine production for energy storage applications, pivoting from pure oilfield services toward industrial chemicals with higher-margin, less-cyclical demand [1]. International and offshore revenue hit 10-year highs in H1 2026 (+24% YoY international), demonstrating successful geographic diversification. AI Deployment (0/2): No evidence of AI products, AI-driven services, or quantified AI cost savings. The company's operations remain traditional oilfield services and chemical manufacturing. Market Share (1/2): TETRA is a leading provider of completion fluids and 'green completions' solutions, with record Q1 Completion Fluids &amp; Products revenue (+15% YoY) indicating market share gains in offshore and international markets [2]. However, the company is not the dominant player in the broader oilfield services sector. Product Pipeline (1/2): The bromine expansion for energy storage (battery electrolyte applications) represents a concrete next-generation business line with strategic significance, though specific product launch dates and revenue visibility are limited to the ONE TETRA 2030 framework [1]. R&amp;D Intensity (1/1): Investment in proprietary chemical formulations, bromine processing technology, and green completions solutions is above average for oilfield services companies that typically operate as commodity service providers.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TETRA's stated focus on providing 'innovative solutions' for energy and industrial markets is generic and interchangeable with any oilfield services company [3]. The sustainability positioning around 'green completions' adds some purpose-oriented language, but this reads as market positioning rather than a deeply held mission. Community Impact (1/2): The company engages in standard corporate sustainability practices — pollution prevention, energy conservation, waste minimization — and positions itself as a leader in green completions that reduce methane flaring [3]. Some environmental stewardship is genuine but primarily market-driven rather than philanthropic. Employee Retention (1/2): No negative signals identified. CEO Roger Argus was appointed in 2026 as part of a planned leadership transition, and the company has approximately 3,000 employees with operations spanning multiple countries. Average retention for the industry. Insider Buying (0/2): No specific insider buying data was identified for TTI executives. The data is insufficient to score above zero.</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TETRA's balance sheet is a relative strength with D/E of 63.38% (scoring 1.0, well below the 70% target), and the company maintains a reasonable leverage position with $217M debt against $67M cash [4]. However, profitability is weak with ROE of only 3.03% (scoring 0.20 with 2x weight) and profit margin of 5.5% (scoring 0.28), reflecting the low-margin nature of oilfield services [1]. Revenue growth YoY of 7% (scoring 0.90) demonstrates modest improvement but falls short of the 10% target. Forward PE of 37.88 (scoring 0.55) is elevated relative to forward earnings, reflecting the fact that trailing earnings were inflated by one-time items and normalized forward earnings are considerably lower [4]. Revenue growth 5yr CAGR and Forward PEG are excluded as unavailable. The weighted calculation yields 3.13/6.0 = 5.22, rounding to 5. Liquidity is adequate at $14.0M daily traded value (2.0M shares x $7.00).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TETRA Technologies shows genuine signs of infinite-game thinking through its ONE TETRA 2030 strategic initiative and bromine expansion into energy storage — demonstrating willingness to evolve beyond pure oilfield services toward higher-value industrial chemicals. The company's green completions leadership reflects competitive learning from industry trends. However, the lack of an articulated Just Cause beyond commercial opportunity, and the typical energy services focus on quarterly execution metrics, place TETRA in the MIXED category.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TETRA's purpose revolves around serving the energy industry with completion fluids and water management while expanding into bromine for energy storage. The sustainability positioning around green completions adds a purpose dimension — enabling the energy transition by reducing methane flaring — but this reads as commercial opportunity rather than a deeply held cause [3]. The company exists to serve energy customers profitably, not to advance a vision of a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appointment of CEO Roger Argus in 2026 appears to be a planned leadership transition as part of the ONE TETRA 2030 initiative, suggesting organizational stability and succession planning [1]. The company operates across multiple countries with approximately 3,000 employees. No evidence of cultural problems, high turnover, or organizational dysfunction was identified. Average trust for the industry.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TETRA's competitive positioning as the 'green completions' leader demonstrates learning from industry trends and regulatory pressure — the company has turned environmental requirements into a competitive advantage rather than treating them as a compliance burden [3]. The expansion into bromine for energy storage shows competitive awareness of companies like Albemarle and ICL in specialty chemicals, using competitive dynamics to evolve beyond pure oilfield services.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pivot toward bromine production for energy storage applications while maintaining core oilfield services demonstrates meaningful business model evolution [1]. The company is entering an adjacent industrial chemicals market with different demand drivers (energy storage vs. oil drilling cycles), reducing cyclicality exposure. This is genuine strategic adaptation — not transformative reinvention, but meaningful portfolio evolution that could redefine the company over the next decade.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bromine expansion for energy storage during a strong oilfield services upcycle shows forward thinking — the company could simply harvest cyclical profits, but instead is deploying capital toward a less-cyclical, higher-margin business line with longer-term strategic value [1]. The ONE TETRA 2030 initiative represents a structured long-term plan rather than quarterly optimization. However, the investments are incremental rather than bet-the-company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TETRA Technologies offers a compelling transformation story at an attractive valuation — the company delivered record international revenue in Q2 2026 (+24% YoY) with total revenue of $185.7 million (+7% YoY) and adjusted EBITDA of $31.9 million (+24% sequentially), demonstrating operational momentum in its core oilfield services business [1][2]. The balance sheet is healthy with D/E of 63.38%, and the ONE TETRA 2030 initiative provides strategic direction for the bromine expansion into energy storage — a market with secular tailwinds from EV adoption and grid-scale batteries. The stock has appreciated 167% over the past 52 weeks, reflecting market recognition of the transformation, and maintains a Strong Buy consensus from four analysts with a $13.13 price target representing 88% upside from $7.00 [4]. The Inspire Impact Score of 46 (ALIGNED) adds appeal for faith-based investors seeking energy exposure with positive ESG characteristics.</w:t>
      </w:r>
    </w:p>
    <w:p>
      <w:pPr>
        <w:spacing w:after="120"/>
      </w:pPr>
      <w:r>
        <w:rPr>
          <w:rFonts w:ascii="Calibri" w:hAnsi="Calibri"/>
          <w:b w:val="0"/>
          <w:color w:val="3A4A28"/>
          <w:sz w:val="20"/>
        </w:rPr>
        <w:t>The bear case centers on the disconnect between the trailing PE of 10.13 (inflated by one-time gains) and the forward PE of 37.88 (reflecting normalized earnings far below the trailing period), suggesting the stock's recent 167% appreciation may have overshot the fundamental improvement [4]. Normalized profit margins of 5.5% and ROE of 3.03% are weak for a company trading at nearly 38x forward earnings — this is growth-stock pricing on a services-company margin profile. Revenue growth of only 7% YoY does not justify a premium multiple, and the oilfield services segment remains cyclically exposed to oil price volatility and drilling activity levels. The bromine expansion is promising but pre-revenue, introducing execution risk on what is the primary differentiation story. TETRA's core completion fluids business, while benefiting from offshore/international strength, competes in a commoditized market with limited pricing power. An overall score of 54 (WATCH) reflects a company with genuine strategic potential hampered by weak current profitability and a valuation that appears to anticipate transformation success before it has been demonstrated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Bromine production facility reaching commercial production and generating first revenue from energy storage customers, validating the ONE TETRA 2030 diversification strategy and providing a catalyst for multiple re-rating [1]</w:t>
      </w:r>
    </w:p>
    <w:p>
      <w:pPr>
        <w:spacing w:before="40" w:after="40"/>
        <w:ind w:left="283"/>
      </w:pPr>
      <w:r>
        <w:rPr>
          <w:rFonts w:ascii="Calibri" w:hAnsi="Calibri"/>
          <w:b/>
          <w:color w:val="4A6B25"/>
          <w:sz w:val="20"/>
        </w:rPr>
        <w:t xml:space="preserve">2. </w:t>
      </w:r>
      <w:r>
        <w:rPr>
          <w:rFonts w:ascii="Calibri" w:hAnsi="Calibri"/>
          <w:b w:val="0"/>
          <w:color w:val="3A4A28"/>
          <w:sz w:val="20"/>
        </w:rPr>
        <w:t>Continued acceleration of international and offshore revenue — Q2 2026 international revenue hit a 10-year high (+24% YoY), and further deepwater project awards could drive outsized growth in Completion Fluids &amp; Products [1]</w:t>
      </w:r>
    </w:p>
    <w:p>
      <w:pPr>
        <w:spacing w:before="40" w:after="40"/>
        <w:ind w:left="283"/>
      </w:pPr>
      <w:r>
        <w:rPr>
          <w:rFonts w:ascii="Calibri" w:hAnsi="Calibri"/>
          <w:b/>
          <w:color w:val="4A6B25"/>
          <w:sz w:val="20"/>
        </w:rPr>
        <w:t xml:space="preserve">3. </w:t>
      </w:r>
      <w:r>
        <w:rPr>
          <w:rFonts w:ascii="Calibri" w:hAnsi="Calibri"/>
          <w:b w:val="0"/>
          <w:color w:val="3A4A28"/>
          <w:sz w:val="20"/>
        </w:rPr>
        <w:t>Expansion of adjusted EBITDA margins above 20% as higher-margin completion fluids growth offsets lower-margin water services, potentially driving a re-rating from oilfield services to specialty chemicals valuations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37.88 prices in transformation success that has not yet been demonstrated — normalized earnings are far below the one-time-inflated trailing period, and the stock's 167% appreciation may have overshot fundamental improvement [4]</w:t>
      </w:r>
    </w:p>
    <w:p>
      <w:pPr>
        <w:spacing w:before="40" w:after="40"/>
        <w:ind w:left="283"/>
      </w:pPr>
      <w:r>
        <w:rPr>
          <w:rFonts w:ascii="Calibri" w:hAnsi="Calibri"/>
          <w:b/>
          <w:color w:val="4A6B25"/>
          <w:sz w:val="20"/>
        </w:rPr>
        <w:t xml:space="preserve">2. </w:t>
      </w:r>
      <w:r>
        <w:rPr>
          <w:rFonts w:ascii="Calibri" w:hAnsi="Calibri"/>
          <w:b w:val="0"/>
          <w:color w:val="3A4A28"/>
          <w:sz w:val="20"/>
        </w:rPr>
        <w:t>Core oilfield services business remains cyclically exposed to oil prices and North American drilling activity, which could decline sharply if oil prices fall below $60/bbl or if the energy transition accelerates adoption of alternatives</w:t>
      </w:r>
    </w:p>
    <w:p>
      <w:pPr>
        <w:spacing w:before="40" w:after="40"/>
        <w:ind w:left="283"/>
      </w:pPr>
      <w:r>
        <w:rPr>
          <w:rFonts w:ascii="Calibri" w:hAnsi="Calibri"/>
          <w:b/>
          <w:color w:val="4A6B25"/>
          <w:sz w:val="20"/>
        </w:rPr>
        <w:t xml:space="preserve">3. </w:t>
      </w:r>
      <w:r>
        <w:rPr>
          <w:rFonts w:ascii="Calibri" w:hAnsi="Calibri"/>
          <w:b w:val="0"/>
          <w:color w:val="3A4A28"/>
          <w:sz w:val="20"/>
        </w:rPr>
        <w:t>Bromine expansion execution risk — the pivot from oilfield services to industrial chemicals for energy storage is strategically sound but operationally complex, requiring new supply chains, customer relationships, and technical capabilities that TETRA has not yet demonstrated at scale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TETRA Technologies operates in fundamentally physical-world services — completion fluids are chemical products manufactured and delivered to wellsites, water management involves physical infrastructure and on-site operations, and bromine production is industrial chemistry requiring processing plants and raw material extraction [1]. AI cannot substitute for any of these core activities. Offshore and international oilfield services require on-site presence, heavy equipment, specialized chemical formulations, and regulatory compliance that AI cannot replicate. The energy services sector is structurally immune to AI displacement. AI may enhance operational efficiency (predictive maintenance, logistics optimization) but creates no substitution risk for the company's products or field services. The bromine expansion into energy storage actually benefits from AI-driven demand growth as AI data centers increase electricity consumption. AI Opportunity (0/1): No AI revenue or AI products. TETRA is a traditional industrial and oilfield services company with no technology products or AI-enhanced service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TETRA Technologies Q2 2026 Earnings Call — Revenue $185.7M (+7% YoY, +19% Sequential), Adjusted EBITDA $31.9M, Record International Revenue (+24% YoY), Bromine Expansion Update, August 2026</w:t>
      </w:r>
    </w:p>
    <w:p>
      <w:pPr>
        <w:spacing w:before="20" w:after="20"/>
        <w:ind w:left="170"/>
      </w:pPr>
      <w:r>
        <w:rPr>
          <w:rFonts w:ascii="Calibri" w:hAnsi="Calibri"/>
          <w:b/>
          <w:color w:val="4A6B25"/>
          <w:sz w:val="15"/>
        </w:rPr>
        <w:t xml:space="preserve">2. </w:t>
      </w:r>
      <w:r>
        <w:rPr>
          <w:rFonts w:ascii="Calibri" w:hAnsi="Calibri"/>
          <w:b w:val="0"/>
          <w:color w:val="3A4A28"/>
          <w:sz w:val="17"/>
        </w:rPr>
        <w:t>TETRA Technologies Q1 2026 Earnings — Revenue $156M, Adjusted EBITDA $26M, Completion Fluids Record Q1 (+15% YoY), Net Leverage 1.5x, May 2026</w:t>
      </w:r>
    </w:p>
    <w:p>
      <w:pPr>
        <w:spacing w:before="20" w:after="20"/>
        <w:ind w:left="170"/>
      </w:pPr>
      <w:r>
        <w:rPr>
          <w:rFonts w:ascii="Calibri" w:hAnsi="Calibri"/>
          <w:b/>
          <w:color w:val="4A6B25"/>
          <w:sz w:val="15"/>
        </w:rPr>
        <w:t xml:space="preserve">3. </w:t>
      </w:r>
      <w:r>
        <w:rPr>
          <w:rFonts w:ascii="Calibri" w:hAnsi="Calibri"/>
          <w:b w:val="0"/>
          <w:color w:val="3A4A28"/>
          <w:sz w:val="17"/>
        </w:rPr>
        <w:t>TETRA Technologies Sustainability and ESG — Sustainalytics Average ESG Risk Rating, Green Completions Leadership, onetetra.com,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TipRanks — TTI Key Statistics: Stock Price $7.00, Trailing PE 10.13, Forward PE 37.88, D/E 63.38%, ROE 3.03%, Avg Volume 2.0M,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