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TW</w:t>
      </w:r>
      <w:r>
        <w:rPr>
          <w:rFonts w:ascii="Calibri" w:hAnsi="Calibri"/>
          <w:b/>
          <w:color w:val="1A2010"/>
          <w:sz w:val="40"/>
        </w:rPr>
        <w:t xml:space="preserve">  Tradeweb Markets Inc.</w:t>
      </w:r>
    </w:p>
    <w:p>
      <w:pPr>
        <w:spacing w:after="120"/>
      </w:pPr>
      <w:r>
        <w:rPr>
          <w:rFonts w:ascii="Calibri" w:hAnsi="Calibri"/>
          <w:b/>
          <w:color w:val="6E8450"/>
          <w:sz w:val="18"/>
        </w:rPr>
        <w:t>GROWTH SLEEVE · 2026-09-20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Tradeweb Markets builds and operates electronic marketplaces for rates, credit, equities, and money markets globally, serving institutional, wholesale, retail, and corporate clients including asset managers, hedge funds, insurance companies, central banks, and dealers. Founded in 1996 and majority-owned by LSEG/Refinitiv, Tradeweb facilitates over $3 trillion in average daily trading volume. H1 2026 revenue reached $1.18B (+15.1% YoY) with Q1 setting a record at $617.8M (+21.2%) and Q2 at $558.9M (+9%). Market cap is approximately $22.5B.</w:t>
      </w:r>
    </w:p>
    <w:p>
      <w:r>
        <w:rPr>
          <w:rFonts w:ascii="Calibri" w:hAnsi="Calibri"/>
          <w:b/>
          <w:color w:val="6E8450"/>
          <w:sz w:val="18"/>
        </w:rPr>
        <w:t>1,613 Employees · https://www.tradeweb.com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Tradeweb has expanded into multiple adjacent asset classes and geographies over the past five years, including portfolio trading for credit, all-to-all trading protocols, and ETF execution innovation [1]. Q1 2026 delivered record revenue of $617.8M (+21.2% YoY) with international revenues surging 29.4% on $3.3T average daily volume (+31.4%), demonstrating successful geographic expansion [1]. These are significant incremental extensions rather than a transformative business model pivot. AI Deployment (1/2): Tradeweb deploys AI-Price for automated pre-trade analytics and SNAP+ analytics commercially, and CEO Billy Hult has articulated a leadership vision around AI-powered price discovery and liquidity search for clients [2]. Market data revenues grew 22.6% YoY in Q2 2026 driven partly by analytics demand, though specific AI revenue is not separately quantified [1]. Market Share (1/2): Tradeweb is a leading electronic fixed income marketplace competing with Bloomberg and MarketAxess, processing over $3T daily volume, but does not hold outright dominant share in any single asset class category [1]. Product Pipeline (1/2): Expanding into new asset classes with dealer algorithmic trading suites, compression protocols, and AI-embedded execution tools, but specific next-gen launches with named dates and revenue visibility are not publicly detailed. R&amp;D Intensity (1/1): Technology investment is above average for financial services with the company operating as a technology-first platform achieving 93% gross margins through continuous protocol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Tradeweb's purpose centers on modernizing markets through electronic trading technology to make them more efficient, transparent, and accessible — clear and identifies what the company does and for whom, but does not articulate a deeper purpose beyond improved market infrastructure [2]. Community Impact (1/2): Tradeweb established an ESG Steering Committee in 2020, publishes an annual Corporate Sustainability Report with full carbon emissions reporting, and introduced inaugural TCFD and CDP Climate Change disclosures [3]. General corporate responsibility programs without distinctive community investment or specific dollar amounts. Employee Retention (1/2): Glassdoor rating of 3.8/5 with 301 reviews and 66% recommendation rate reflects adequate employee satisfaction for financial services [2]. Some employees cite low morale and characterize technology leadership as 'clubby' with preferential treatment for longer-tenured staff, while others praise the innovation culture. Average for industry with no standout retention data. Insider Buying (0/2): No evidence of meaningful net insider buying by executives in the last 12 months was identified. CEO Hult has significant equity exposure through compensation, but open-market insider purchases are not documented.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Tradeweb demonstrates exceptional financial health with near-zero leverage (D/E of 2.0%, $2.06B cash vs $150M debt), best-in-class profitability (40.7% profit margin, 93% gross margin, 43.8% operating margin), and strong compounding (estimated 5yr revenue CAGR of ~15%) [1][4]. ROE of 14.5% narrowly misses the 15% target, scoring 0.965 with 2x weight. The primary drags are the Forward PEG of 1.68 (2x weight, scoring 0.66 against 1.0 target) and Forward P/E of 22.6x slightly above the 20x target (scoring 0.93). Q2 2026 revenue growth decelerated to 9% from Q1's 21.2%, just missing the 10% target, though year-to-date growth is 15.1%. Liquidity floor easily cleared at ~$156M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Tradeweb has played a 30-year game since its 1996 founding, patiently building electronic trading infrastructure as fixed-income markets slowly transitioned from voice to electronic execution. The company's H1 2026 results ($1.18B revenue, +15.1% YoY) validate this patient approach. The willingness to invest in AI tools and expand internationally reflects long-term thinking, though Glassdoor feedback about low morale and 'clubby' leadership temper the organizational trust assessment. Competitive language focuses on innovation and market evolution rather than rival destruction.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Tradeweb's purpose — modernizing fixed-income markets through electronic trading technology — has been validated by nearly 30 years of consistent execution since 1996, surviving the 2008 crisis, COVID volatility, and multiple market regime changes [1]. Record Q1 2026 volumes ($3.3T daily) demonstrate the cause is being realized at scale. Strategic decisions consistently trace back to making more markets electronic — expanding into EM swaps, credit, and equities. The purpose is genuine and enduring, though fundamentally commercial rather than idealistic in the Sinek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with 301 reviews suggests adequate organizational trust, with employees citing innovation culture and growth opportunities positively [2]. Named to Forbes' America's Best Companies 2025. However, some employees report low morale, describe technology leadership as 'clubby' with preferential treatment for longer-tenured staff, and note the company 'was better run in the past' — suggesting strain under growth pressure rather than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Tradeweb competes with Bloomberg, MarketAxess, and ICE in electronic trading, and the company's competitive posture focuses on protocol innovation, client solutions, and expanding the overall electronic trading market rather than rival destruction [1]. Management discussion emphasizes market evolution and building better tools for clients. The competitive dynamic with MarketAxess in credit trading has pushed both platforms to develop superior execution protocols.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Tradeweb has expanded meaningfully from a single-asset-class dealer-to-client platform to a multi-asset, multi-protocol marketplace serving institutional, wholesale, and retail clients globally [1]. International revenue growing 29.4% and expansion into data/analytics represent significant adaptation. However, the core business model — electronic marketplace operator — has remained fundamentally unchanged since founding. This is disciplined extension,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Tradeweb has invested through market downturns in building new trading protocols and expanding internationally, with international revenues surging 29.4% in Q1 2026 demonstrating the payoff of years of geographic investment [1]. The company's consistent reinvestment in technology infrastructure and willingness to hire senior AI talent (Head of AI from Amazon Bedrock) show forward-thinking leadership. However, growth has been consistently profitable and accretive — no evidence of sacrificing near-term results for a principled long-term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Tradeweb at 22.6x forward earnings is a high-quality financial infrastructure compounder with consistent double-digit revenue growth — H1 2026 revenue reached $1.18B (+15.1% YoY) with Q1 setting a record at $617.8M, driven by 31.4% average daily volume growth and 29.4% international revenue expansion [1]. The 40.7% profit margin, 93% gross margin, and near-zero leverage ($2.06B cash vs $150M debt) create a durable capital-light earnings engine with significant operating leverage as volumes scale. Market data revenue growth of 22.6% in Q2 reflects the company's evolution from pure execution to a data and analytics platform with embedded AI (AI-Price), expanding the addressable market [1]. The fixed income electronification trend remains in early innings — only ~35-40% of rates and ~25-30% of credit trading is electronic — providing a long secular growth runway.</w:t>
      </w:r>
    </w:p>
    <w:p>
      <w:pPr>
        <w:spacing w:after="120"/>
      </w:pPr>
      <w:r>
        <w:rPr>
          <w:rFonts w:ascii="Calibri" w:hAnsi="Calibri"/>
          <w:b w:val="0"/>
          <w:color w:val="3A4A28"/>
          <w:sz w:val="20"/>
        </w:rPr>
        <w:t>The bear case centers on growth deceleration and premium valuation. Q2 2026 revenue growth decelerated sharply to 9% from Q1's 21.2%, suggesting the record Q1 benefited from elevated volatility and rate uncertainty that may not persist [1]. Forward PEG of 1.68 prices in sustained mid-teens growth — any further deceleration could compress the multiple from 22.6x forward P/E. ROE of 14.5% narrowly misses the 15% target, though improving with earnings growth. LSEG/Refinitiv majority ownership creates potential strategic conflicts as LSEG evolves its own trading platform strategy. Competition from Bloomberg (dominant terminal ecosystem), MarketAxess (credit trading leadership), and ICE (data/analytics) remains intense across all asset classes [4]. Interest rate volatility correlation means a prolonged low-volatility environment could compress trading volumes below the growth rate needed to sustain the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fixed income electronification with only 35-40% of rates and 25-30% of credit traded electronically, providing a multi-year secular growth runway as institutional adoption accelerates globally [1]</w:t>
      </w:r>
    </w:p>
    <w:p>
      <w:pPr>
        <w:spacing w:before="40" w:after="40"/>
        <w:ind w:left="283"/>
      </w:pPr>
      <w:r>
        <w:rPr>
          <w:rFonts w:ascii="Calibri" w:hAnsi="Calibri"/>
          <w:b/>
          <w:color w:val="4A6B25"/>
          <w:sz w:val="20"/>
        </w:rPr>
        <w:t xml:space="preserve">2. </w:t>
      </w:r>
      <w:r>
        <w:rPr>
          <w:rFonts w:ascii="Calibri" w:hAnsi="Calibri"/>
          <w:b w:val="0"/>
          <w:color w:val="3A4A28"/>
          <w:sz w:val="20"/>
        </w:rPr>
        <w:t>International revenue expansion (+29.4% in Q1 2026, reaching $274M quarterly) as European and Asian markets adopt electronic trading protocols faster than domestic [1]</w:t>
      </w:r>
    </w:p>
    <w:p>
      <w:pPr>
        <w:spacing w:before="40" w:after="40"/>
        <w:ind w:left="283"/>
      </w:pPr>
      <w:r>
        <w:rPr>
          <w:rFonts w:ascii="Calibri" w:hAnsi="Calibri"/>
          <w:b/>
          <w:color w:val="4A6B25"/>
          <w:sz w:val="20"/>
        </w:rPr>
        <w:t xml:space="preserve">3. </w:t>
      </w:r>
      <w:r>
        <w:rPr>
          <w:rFonts w:ascii="Calibri" w:hAnsi="Calibri"/>
          <w:b w:val="0"/>
          <w:color w:val="3A4A28"/>
          <w:sz w:val="20"/>
        </w:rPr>
        <w:t>Market data and analytics revenue growing 22.6% YoY in Q2, with AI-Price and data products expanding the addressable market beyond pure execution toward higher-margin recurring analytics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risk after Q2 revenue slowed to 9% YoY from Q1's 21.2%, suggesting elevated Q1 volumes may have been driven by temporary rate volatility rather than sustainable structural demand [1]</w:t>
      </w:r>
    </w:p>
    <w:p>
      <w:pPr>
        <w:spacing w:before="40" w:after="40"/>
        <w:ind w:left="283"/>
      </w:pPr>
      <w:r>
        <w:rPr>
          <w:rFonts w:ascii="Calibri" w:hAnsi="Calibri"/>
          <w:b/>
          <w:color w:val="4A6B25"/>
          <w:sz w:val="20"/>
        </w:rPr>
        <w:t xml:space="preserve">2. </w:t>
      </w:r>
      <w:r>
        <w:rPr>
          <w:rFonts w:ascii="Calibri" w:hAnsi="Calibri"/>
          <w:b w:val="0"/>
          <w:color w:val="3A4A28"/>
          <w:sz w:val="20"/>
        </w:rPr>
        <w:t>Competition from Bloomberg's dominant fixed income platform, MarketAxess's strengthening all-to-all credit offering, and ICE's expanding rates and data business could pressure market share and pricing power</w:t>
      </w:r>
    </w:p>
    <w:p>
      <w:pPr>
        <w:spacing w:before="40" w:after="40"/>
        <w:ind w:left="283"/>
      </w:pPr>
      <w:r>
        <w:rPr>
          <w:rFonts w:ascii="Calibri" w:hAnsi="Calibri"/>
          <w:b/>
          <w:color w:val="4A6B25"/>
          <w:sz w:val="20"/>
        </w:rPr>
        <w:t xml:space="preserve">3. </w:t>
      </w:r>
      <w:r>
        <w:rPr>
          <w:rFonts w:ascii="Calibri" w:hAnsi="Calibri"/>
          <w:b w:val="0"/>
          <w:color w:val="3A4A28"/>
          <w:sz w:val="20"/>
        </w:rPr>
        <w:t>Interest rate volatility correlation means a prolonged low-volatility environment could compress trading volumes and revenue growth below the rate needed to justify the 22.6x forward multiple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Tradeweb's electronic marketplace infrastructure benefits from deep regulatory entrenchment (SEC/FINRA compliance requirements), network effects (multi-dealer platforms with established counterparty relationships), and high switching costs for institutional clients integrated into Tradeweb's execution and post-trade workflows [1]. AI-powered trading platforms cannot easily replicate the regulatory infrastructure, dealer connectivity, and settlement processes that underpin fixed income markets. However, AI-native fintech entrants could compete at the margin in analytics and simpler execution protocols. CEO Hult has positioned Tradeweb as an AI-enabler rather than target, embedding AI into price discovery and liquidity tools [2]. AI Opportunity (1/1): Tradeweb generates revenue from AI-embedded products including AI-Price for automated pre-trade pricing and SNAP+ analytics. Market data revenue grew 22.6% in Q2 2026, with AI-powered trading tools contributing to growing client demand for data and analytics offerings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Tradeweb Markets Q1 and Q2 2026 Financial Results — Q1 Record Revenue $617.8M (+21.2%), Q2 Revenue $558.9M (+9%), YTD $1.18B (+15.1%), Adjusted EBITDA Margin 55%, April-July 2026</w:t>
      </w:r>
    </w:p>
    <w:p>
      <w:pPr>
        <w:spacing w:before="20" w:after="20"/>
        <w:ind w:left="170"/>
      </w:pPr>
      <w:r>
        <w:rPr>
          <w:rFonts w:ascii="Calibri" w:hAnsi="Calibri"/>
          <w:b/>
          <w:color w:val="4A6B25"/>
          <w:sz w:val="15"/>
        </w:rPr>
        <w:t xml:space="preserve">2. </w:t>
      </w:r>
      <w:r>
        <w:rPr>
          <w:rFonts w:ascii="Calibri" w:hAnsi="Calibri"/>
          <w:b w:val="0"/>
          <w:color w:val="3A4A28"/>
          <w:sz w:val="17"/>
        </w:rPr>
        <w:t>Tradeweb CEO Billy Hult Interview and Glassdoor Reviews — AI Leadership Strategy, Employee Culture (3.8/5 rating, 301 reviews), Technology Leadership Dynamics, 2025-2026</w:t>
      </w:r>
    </w:p>
    <w:p>
      <w:pPr>
        <w:spacing w:before="20" w:after="20"/>
        <w:ind w:left="170"/>
      </w:pPr>
      <w:r>
        <w:rPr>
          <w:rFonts w:ascii="Calibri" w:hAnsi="Calibri"/>
          <w:b/>
          <w:color w:val="4A6B25"/>
          <w:sz w:val="15"/>
        </w:rPr>
        <w:t xml:space="preserve">3. </w:t>
      </w:r>
      <w:r>
        <w:rPr>
          <w:rFonts w:ascii="Calibri" w:hAnsi="Calibri"/>
          <w:b w:val="0"/>
          <w:color w:val="3A4A28"/>
          <w:sz w:val="17"/>
        </w:rPr>
        <w:t>Tradeweb Corporate Sustainability Report — ESG Steering Committee (est. 2020), TCFD Disclosure, CDP Climate Questionnaire, Carbon Emissions Reporting,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TW Key Statistics: Forward P/E 22.64x, PEG 1.68, ROE 14.47%, Profit Margin 40.7%, D/E 2.0%, Stock Price $103.97,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