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TXRH</w:t>
      </w:r>
      <w:r>
        <w:rPr>
          <w:rFonts w:ascii="Calibri" w:hAnsi="Calibri"/>
          <w:b/>
          <w:color w:val="1A2010"/>
          <w:sz w:val="40"/>
        </w:rPr>
        <w:t xml:space="preserve">  Texas Roadhouse, Inc.</w:t>
      </w:r>
    </w:p>
    <w:p>
      <w:pPr>
        <w:spacing w:after="120"/>
      </w:pPr>
      <w:r>
        <w:rPr>
          <w:rFonts w:ascii="Calibri" w:hAnsi="Calibri"/>
          <w:b/>
          <w:color w:val="6E8450"/>
          <w:sz w:val="18"/>
        </w:rPr>
        <w:t>GROWTH SLEEVE · 2026-10-02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NASDAQ · United States</w:t>
      </w:r>
    </w:p>
    <w:p>
      <w:pPr>
        <w:spacing w:after="80"/>
      </w:pPr>
      <w:r>
        <w:rPr>
          <w:rFonts w:ascii="Calibri" w:hAnsi="Calibri"/>
          <w:b w:val="0"/>
          <w:color w:val="3A4A28"/>
          <w:sz w:val="20"/>
        </w:rPr>
        <w:t>Texas Roadhouse operates casual dining restaurants under the Texas Roadhouse, Bubba's 33, and Jaggers brands, serving hand-cut steaks, ribs, and freshly baked bread across approximately 750 locations in 49 states and 10 international markets. Founded in 1993 by Kent Taylor and headquartered in Louisville, Kentucky. The company's managing partner model gives restaurant-level leaders equity-like incentives and operational autonomy. Q2 FY2026 revenue of $1.68B (up 11.1% YoY) with comparable restaurant sales growth of 6.2% including 3% traffic growth, and TTM revenue of $6.2B.</w:t>
      </w:r>
    </w:p>
    <w:p>
      <w:r>
        <w:rPr>
          <w:rFonts w:ascii="Calibri" w:hAnsi="Calibri"/>
          <w:b/>
          <w:color w:val="6E8450"/>
          <w:sz w:val="18"/>
        </w:rPr>
        <w:t>101,000 Employees · https://www.texasroadhouse.com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Texas Roadhouse has delivered consistent concept execution — average weekly sales exceeded $175,000 for the first time in the company's 33-year history in Q2 2026, and the company has grown to approximately 750 locations [1]. Bubba's 33 and Jaggers provide modest brand extensions, but no transformative business model pivot, new concept launch, or technology innovation has occurred in the past five years. AI Deployment (0/2): No evidence of AI-powered products or quantified AI efficiency gains; management has expressed concern about AI potentially undermining the 'human touch' service model that differentiates Texas Roadhouse from competitors [3]. Market Share (2/2): Texas Roadhouse is the dominant full-service steakhouse chain in the United States by revenue, with average weekly sales exceeding $175,000 that lead the casual dining category [1][2]. Q2 2026 same-store sales growth of 6.2% with 3% positive traffic outperforms casual dining peers in a challenging consumer environment where many competitors report negative traffic. Product Pipeline (1/2): Full restaurant development pipeline with 35 company-owned openings annually providing 5-6% store week growth, with visibility through 2029 [1]. Specific and measurable expansion plans, though this is incremental unit replication rather than new product innovation. R&amp;D Intensity (0/1): Restaurants do not have traditional R&amp;D programs; Texas Roadhouse's innovation occurs through menu development and operational refinement rather than formal research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Kent Taylor founded Texas Roadhouse with a specific and deeply held purpose — 'Legendary Food, Legendary Service' at accessible prices for working American families [3]. This was not a marketing tagline; Taylor famously refused to raise prices even when commodities spiked because he viewed affordable quality dining as a social mission. The managing partner model, the commitment to hand-cut steaks and fresh-baked bread, and the family-friendly atmosphere all trace to this founding purpose. Taylor's death in 2021 was tragic, but CEO Jerry Morgan has maintained the cultural DNA across 750+ locations. Community Impact (1/2): Each Texas Roadhouse restaurant partners with local charities through the Andy's Outreach program (named after Kent Taylor's alter ego), providing community meals, fundraiser hosting, and charitable donations [4]. Kent Taylor donated his $800K+ salary and bonus during COVID to fund frontline employee pay. Genuine grassroots community investment but lacks the distinctive scale of corporate foundations. Employee Retention (1/2): The managing partner compensation model gives restaurant leaders significant equity-like incentives and promotes from within; many managing partners have multi-decade tenures [3]. CEO Jerry Morgan is a 29-year veteran who joined in 1997 and rose from managing partner. Comparably leadership score of 67/100 with CEO approval of 70/100 is above average for the restaurant industry. Insider Buying (0/2): Only 0.4% insider ownership with no evidence of meaningful insider purchases in the last 12 months; institutional ownership dominates at 102%.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Texas Roadhouse demonstrates exceptional financial strength across most metrics. ROE of 27.7% far exceeds the 15% target (score 1.0, 2x weight), and D/E of 68.8% is at the 70% target threshold (score 1.0) [5]. Revenue growth YoY of 11.1% exceeds the 10% target (score 1.0), driven by 6.2% comparable sales growth and 5-6% unit expansion [1][2]. The 5-year revenue CAGR of approximately 12.5% exceeds the 10% target (score 1.0, 2x weight), reflecting consistent double-digit expansion since the post-COVID recovery. Forward P/E of 20.2 is essentially at the 20 target (score 1.0) after the stock's 25% decline from 52-week highs. PEG ratio of 1.56 is below the 3.0 floor but above the 1.0 target (score 0.72, 2x weight). The primary weakness is profit margin of 6.6% (score 0.33), which is structurally constrained by the full-service restaurant model but consistent with category leaders. Daily dollar volume of $145.6M provides strong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Texas Roadhouse under Kent Taylor was one of the purest infinite game players in the restaurant industry — a founder who returned his salary during COVID to pay employees, refused to raise prices to protect margins, and built a managing partner model specifically to create ownership mentality at the restaurant level. Under CEO Jerry Morgan (29-year company veteran), the financial results have been excellent and the culture appears intact. Sinek would see a company with genuine Just Cause DNA being tested by the transition from a legendary founder to professional management — the true test will come during adversity, not during record sales.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'Legendary Food, Legendary Service' at accessible prices is a genuine cause that shaped 33 years of strategic decisions — every menu choice, staffing decision, and pricing decision traced to Kent Taylor's vision of serving working American families extraordinary food at honest prices [3]. Taylor validated this through decades of consistent execution, famously refusing price increases during the Great Recession and donating his salary during COVID. The purpose is inclusive, service-oriented, and bigger than any single restaurant. Falls short of 3/3 because the cause hasn't yet been tested through a full cycle under post-founder leadership — Taylor's death in 2021 means the current test of Just Cause durability is ongoing.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managing partner model is a deliberate trust-building structure — each restaurant leader has significant operational autonomy, participates in profit-sharing, and is empowered to make decisions for their local market [3]. Many managing partners have decade-plus tenures, and CEO Jerry Morgan's own 29-year progression from managing partner to CEO exemplifies the promote-from-within culture. Comparably leadership score of 67/100 with CEO approval of 70/100 is above average for restaurants. However, front-line restaurant worker turnover remains high as in the broader hospitality industry, and the 101,000-person workforce's experience may vary significantly from the managing partner level.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Kent Taylor was famous for dining at competitors' restaurants — studying their menus, service, execution, and value proposition — and using those insights to improve Texas Roadhouse [3]. The company's competitive DNA is about getting better, not defeating rivals. The response to Outback, LongHorn, and other steakhouse competitors has consistently been 'how do we serve better food at better prices?' rather than 'how do we take their market share?' This learning-from-rivals culture appears to have survived the founder's passing under Morgan's leadership.</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Texas Roadhouse has successfully executed the same core concept for 33 years without a transformative pivot. Bubba's 33 is a modest brand extension, not a fundamental reinvention. The company has not faced the existential test that Sinek describes — it hasn't needed to abandon its core business because the concept continues to work brilliantly. At 33 years old, it is still relatively young by Sinek's standards, and the true test of existential flexibility may come when consumer dining preferences shift or the casual dining category faces structural disruption.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Kent Taylor demonstrated extraordinary courage — returning his $800K+ salary and bonus during COVID to fund employee pay, maintaining prices below competitors during the Great Recession even when commodity inflation squeezed margins, and rejecting short-term earnings optimization in favor of long-term guest value [3]. The commitment to hand-cut steaks (rather than outsourcing to save costs) and fresh-baked bread at every location reflects choosing quality over efficiency. Under Jerry Morgan, the company has continued absorbing commodity and labor cost inflation (50-66bps of margin pressure in H1 2026) while reaffirming growth investment and maintaining the value proposition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Texas Roadhouse at $156.70 is 27% below its 52-week high, trading at 20.2x forward earnings — the most attractive valuation in over two years for a company delivering category-leading execution [1][5]. Q2 FY2026 generated $1.68B revenue (up 11.1% YoY) with 6.2% comparable restaurant sales growth including 3% positive traffic, while the broader casual dining industry reports negative traffic [1][2]. ROE of 27.7% reflects exceptional capital efficiency from the managing partner model, the 5-year revenue CAGR of 12.5% demonstrates consistent double-digit growth, and the development pipeline of 35 new restaurants annually provides visible expansion through 2029. The dividend has been raised for 6 consecutive years (post-COVID) with a 20% five-year growth CAGR, and the PEG ratio of 1.56 suggests the growth trajectory is now more reasonably priced after the pullback. Free cash flow of $236M supports both investment and shareholder returns.</w:t>
      </w:r>
    </w:p>
    <w:p>
      <w:pPr>
        <w:spacing w:after="120"/>
      </w:pPr>
      <w:r>
        <w:rPr>
          <w:rFonts w:ascii="Calibri" w:hAnsi="Calibri"/>
          <w:b w:val="0"/>
          <w:color w:val="3A4A28"/>
          <w:sz w:val="20"/>
        </w:rPr>
        <w:t>The bear case centers on margin vulnerability and the valuation premium restaurants still command. Profit margin of 6.6% is structurally constrained by the full-service model, leaving EPS vulnerable to commodity inflation (beef, dairy, produce) and labor cost pressure — management noted 50-66bps of restaurant margin compression from these factors in H1 2026 [1][2]. EPS was essentially flat year-over-year in Q2 2026 despite 11% revenue growth, demonstrating how quickly cost inflation erodes bottom-line leverage. At 20x forward earnings, the stock still prices in sustained outperformance — any deceleration in same-store sales or traffic below the current 3% could trigger significant multiple compression. The DEI discrimination complaint represents an emerging litigation and reputational risk in a politically charged environment [4]. The post-founder leadership question persists — Kent Taylor's death in 2021 removed the passionate cultural architect, and the true test of whether 'Legendary Food, Legendary Service' endures will come during a consumer recession, not during record average weekly sales.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reset to 20.2x forward earnings after a 27% pullback from highs creates an attractive entry point for a company delivering consistent 11%+ revenue growth with positive traffic in a negative-traffic category [1][5]</w:t>
      </w:r>
    </w:p>
    <w:p>
      <w:pPr>
        <w:spacing w:before="40" w:after="40"/>
        <w:ind w:left="283"/>
      </w:pPr>
      <w:r>
        <w:rPr>
          <w:rFonts w:ascii="Calibri" w:hAnsi="Calibri"/>
          <w:b/>
          <w:color w:val="4A6B25"/>
          <w:sz w:val="20"/>
        </w:rPr>
        <w:t xml:space="preserve">2. </w:t>
      </w:r>
      <w:r>
        <w:rPr>
          <w:rFonts w:ascii="Calibri" w:hAnsi="Calibri"/>
          <w:b w:val="0"/>
          <w:color w:val="3A4A28"/>
          <w:sz w:val="20"/>
        </w:rPr>
        <w:t>35 new company-owned restaurant openings annually through 2029 providing 5-6% store week growth and visible unit economics, with average weekly sales above $175,000 validating continued expansion [1]</w:t>
      </w:r>
    </w:p>
    <w:p>
      <w:pPr>
        <w:spacing w:before="40" w:after="40"/>
        <w:ind w:left="283"/>
      </w:pPr>
      <w:r>
        <w:rPr>
          <w:rFonts w:ascii="Calibri" w:hAnsi="Calibri"/>
          <w:b/>
          <w:color w:val="4A6B25"/>
          <w:sz w:val="20"/>
        </w:rPr>
        <w:t xml:space="preserve">3. </w:t>
      </w:r>
      <w:r>
        <w:rPr>
          <w:rFonts w:ascii="Calibri" w:hAnsi="Calibri"/>
          <w:b w:val="0"/>
          <w:color w:val="3A4A28"/>
          <w:sz w:val="20"/>
        </w:rPr>
        <w:t>Margin expansion opportunity as commodity inflation moderates and operational leverage from higher average weekly sales ($175K+) drops through to operating income, with the PEG of 1.56 suggesting growth is undervalued at current price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 of 6.6% leaves minimal buffer against commodity inflation (beef prices up, labor cost pressure) — Q2 2026 EPS was essentially flat YoY despite 11.1% revenue growth, demonstrating how quickly input cost inflation erodes earnings leverage [1][2]</w:t>
      </w:r>
    </w:p>
    <w:p>
      <w:pPr>
        <w:spacing w:before="40" w:after="40"/>
        <w:ind w:left="283"/>
      </w:pPr>
      <w:r>
        <w:rPr>
          <w:rFonts w:ascii="Calibri" w:hAnsi="Calibri"/>
          <w:b/>
          <w:color w:val="4A6B25"/>
          <w:sz w:val="20"/>
        </w:rPr>
        <w:t xml:space="preserve">2. </w:t>
      </w:r>
      <w:r>
        <w:rPr>
          <w:rFonts w:ascii="Calibri" w:hAnsi="Calibri"/>
          <w:b w:val="0"/>
          <w:color w:val="3A4A28"/>
          <w:sz w:val="20"/>
        </w:rPr>
        <w:t>Even at 20.2x forward P/E, any deceleration in same-store sales below 6% or traffic turning negative could trigger significant multiple compression, as the market prices in sustained outperformance relative to casual dining peers [5]</w:t>
      </w:r>
    </w:p>
    <w:p>
      <w:pPr>
        <w:spacing w:before="40" w:after="40"/>
        <w:ind w:left="283"/>
      </w:pPr>
      <w:r>
        <w:rPr>
          <w:rFonts w:ascii="Calibri" w:hAnsi="Calibri"/>
          <w:b/>
          <w:color w:val="4A6B25"/>
          <w:sz w:val="20"/>
        </w:rPr>
        <w:t xml:space="preserve">3. </w:t>
      </w:r>
      <w:r>
        <w:rPr>
          <w:rFonts w:ascii="Calibri" w:hAnsi="Calibri"/>
          <w:b w:val="0"/>
          <w:color w:val="3A4A28"/>
          <w:sz w:val="20"/>
        </w:rPr>
        <w:t>Post-founder cultural durability remains unproven under adversity — Kent Taylor's death in 2021 removed the passionate cultural architect, and emerging litigation including a DEI discrimination complaint introduces reputational risk in a politically polarized environment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Texas Roadhouse's core business is a physical-world dining experience — hand-cut steaks cooked to order, fresh-baked bread, line dancing, peanuts on the floor, and attentive table service — that AI structurally cannot replicate or substitute [1]. No technology can reproduce the sensory, social, and experiential value of dining in a restaurant. The business requires physical real estate, kitchen equipment, food supply chains, and human service that are entirely beyond AI's displacement capability. The managing partner model depends on human judgment, local market knowledge, and relationship-based leadership. AI-powered meal delivery or ghost kitchens represent only marginal exposure since Texas Roadhouse's value proposition is specifically the dine-in experience. AI Opportunity (0/1): No AI-related revenue or quantified efficiency gains; management has cautioned that over-reliance on AI could undermine the 'human touch' service model that differentiates the brand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Texas Roadhouse Q2 FY2026 Earnings Release — Revenue $1.68B (+11.1% YoY), Comp Sales +6.2%, Traffic +3%, Average Weekly Sales $175K+, SEC 8-K/10-Q, July-August 2026</w:t>
      </w:r>
    </w:p>
    <w:p>
      <w:pPr>
        <w:spacing w:before="20" w:after="20"/>
        <w:ind w:left="170"/>
      </w:pPr>
      <w:r>
        <w:rPr>
          <w:rFonts w:ascii="Calibri" w:hAnsi="Calibri"/>
          <w:b/>
          <w:color w:val="4A6B25"/>
          <w:sz w:val="15"/>
        </w:rPr>
        <w:t xml:space="preserve">2. </w:t>
      </w:r>
      <w:r>
        <w:rPr>
          <w:rFonts w:ascii="Calibri" w:hAnsi="Calibri"/>
          <w:b w:val="0"/>
          <w:color w:val="3A4A28"/>
          <w:sz w:val="17"/>
        </w:rPr>
        <w:t>Texas Roadhouse Q1 FY2026 Earnings Release — Revenue $1.63B (+12.8% YoY), EPS $1.87 (+9.6%), StockTitan/Investing.com, May 2026</w:t>
      </w:r>
    </w:p>
    <w:p>
      <w:pPr>
        <w:spacing w:before="20" w:after="20"/>
        <w:ind w:left="170"/>
      </w:pPr>
      <w:r>
        <w:rPr>
          <w:rFonts w:ascii="Calibri" w:hAnsi="Calibri"/>
          <w:b/>
          <w:color w:val="4A6B25"/>
          <w:sz w:val="15"/>
        </w:rPr>
        <w:t xml:space="preserve">3. </w:t>
      </w:r>
      <w:r>
        <w:rPr>
          <w:rFonts w:ascii="Calibri" w:hAnsi="Calibri"/>
          <w:b w:val="0"/>
          <w:color w:val="3A4A28"/>
          <w:sz w:val="17"/>
        </w:rPr>
        <w:t>Texas Roadhouse Leadership — CEO Jerry Morgan (29-year veteran), Managing Partner Model, Comparably Leadership 67/100, Craft.co/Comparably, 2026</w:t>
      </w:r>
    </w:p>
    <w:p>
      <w:pPr>
        <w:spacing w:before="20" w:after="20"/>
        <w:ind w:left="170"/>
      </w:pPr>
      <w:r>
        <w:rPr>
          <w:rFonts w:ascii="Calibri" w:hAnsi="Calibri"/>
          <w:b/>
          <w:color w:val="4A6B25"/>
          <w:sz w:val="15"/>
        </w:rPr>
        <w:t xml:space="preserve">4. </w:t>
      </w:r>
      <w:r>
        <w:rPr>
          <w:rFonts w:ascii="Calibri" w:hAnsi="Calibri"/>
          <w:b w:val="0"/>
          <w:color w:val="3A4A28"/>
          <w:sz w:val="17"/>
        </w:rPr>
        <w:t>Texas Roadhouse ESG — DEI Discrimination Complaint, Conflicting ESG Pressures, Fox Business/SEC 10-K Filings,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TXRH Key Statistics, Forward P/E 20.2, PEG 1.56, ROE 27.7%, D/E 68.8%,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