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TXT</w:t>
      </w:r>
      <w:r>
        <w:rPr>
          <w:rFonts w:ascii="Calibri" w:hAnsi="Calibri"/>
          <w:b/>
          <w:color w:val="1A2010"/>
          <w:sz w:val="40"/>
        </w:rPr>
        <w:t xml:space="preserve">  Textron Inc.</w:t>
      </w:r>
    </w:p>
    <w:p>
      <w:pPr>
        <w:spacing w:after="120"/>
      </w:pPr>
      <w:r>
        <w:rPr>
          <w:rFonts w:ascii="Calibri" w:hAnsi="Calibri"/>
          <w:b/>
          <w:color w:val="6E8450"/>
          <w:sz w:val="18"/>
        </w:rPr>
        <w:t>GROWTH SLEEVE · 2026-09-16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United States</w:t>
      </w:r>
    </w:p>
    <w:p>
      <w:pPr>
        <w:spacing w:after="80"/>
      </w:pPr>
      <w:r>
        <w:rPr>
          <w:rFonts w:ascii="Calibri" w:hAnsi="Calibri"/>
          <w:b w:val="0"/>
          <w:color w:val="3A4A28"/>
          <w:sz w:val="20"/>
        </w:rPr>
        <w:t>Textron Inc. is a multi-industry company operating through six segments: Textron Aviation (Cessna, Beechcraft business jets and turboprops), Bell (military and commercial rotorcraft including the V-280 Valor/MV-75), Textron Systems (unmanned systems, marine craft, weapons), Industrial (E-Z-GO, Kautex), Textron eAviation (electric aircraft), and Finance. Founded in 1923, the company announced plans to separate its Industrial segment in Q1 2026 to focus on aerospace/defense. H1 2026 revenue increased 7% YoY to approximately $7.85B, though Q2 growth decelerated to 3% amid supply chain challenges. Full-year 2026 adjusted EPS guidance of $6.40-$6.60.</w:t>
      </w:r>
    </w:p>
    <w:p>
      <w:r>
        <w:rPr>
          <w:rFonts w:ascii="Calibri" w:hAnsi="Calibri"/>
          <w:b/>
          <w:color w:val="6E8450"/>
          <w:sz w:val="18"/>
        </w:rPr>
        <w:t>34,000 Employees · https://www.textron.com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Bell won the transformative $70B+ FLRAA contract to replace the Black Hawk helicopter with the V-280 Valor tiltrotor, and the MV-75 commercial tiltrotor represents an entirely new civil aviation category [1]. H1 2026 revenues increased 7% YoY with Textron Aviation up $291M on higher Citation jet deliveries and Bell up $145M driven by MV-75 military program ramp [1]. The planned Industrial segment separation marks a strategic pivot to pure-play aerospace/defense. AI Deployment (1/2): Textron has deployed generative AI enterprise-wide with a 'fail fast, reuse, and empower' approach, treating gen AI as a standard productivity tool with evolving guardrails [3]. Applied to design optimization, supply chain management, and manufacturing efficiency, but no customer-facing AI products or quantified cost savings disclosed. Market Share (1/2): Bell holds the sole-source FLRAA contract for next-gen military rotorcraft. Textron Aviation leads in turboprops (King Air, Cessna Caravan) and is a major player in light-to-midsize business jets (Citation series). Strong across multiple aerospace niches but not dominant in any single category. Product Pipeline (1/2): V-280 Valor entering EMD phase with specific milestones, MV-75 commercial tiltrotor with accelerated development, Citation Ascend in development, and eAviation segment pursuing electric aircraft — named products with timelines but most are multi-year programs [1]. R&amp;D Intensity (1/1): R&amp;D investment in eAviation electric aircraft, next-gen tiltrotor technology, and unmanned systems positions Textron at industry average or slightly above for diversified aerospace.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Textron's stated purpose — 'leveraging our global network of aircraft, defense, industrial and finance businesses to provide innovative solutions and services' — is boilerplate corporate language interchangeable with any diversified industrial company [6]. It describes what the company does, not why it exists or what future state it is building toward. Community Impact (1/2): Textron publishes a Corporate Responsibility Report with programs around GHG reduction and community engagement in operating regions. Standard corporate philanthropy without distinctive scale or alignment with a broader purpose [5]. Employee Retention (1/2): CEO transition from Scott Donnelly (16 years) to Lisa Atherton (promoted from within after ~20 years at Textron) demonstrates strong internal talent development and leadership continuity [3]. Glassdoor 3.6/5 with culture of 'curiosity, creativity, and care.' No specific turnover data available but leadership stability is a positive indicator. Insider Buying (0/2): No evidence of meaningful net insider buying. Previous insider activity showed net selling of approximately $30M over 90 days including by the outgoing chairman, which heavily outweighed the one director purchase of ~$989K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D/E of 52.3% is well below the 70% target, reflecting prudent balance sheet management [4]. Forward P/E of 11.11x is deeply discounted relative to the 20x target, and PEG of 0.94 scores at the 1.0 target level, together indicating attractive valuation for a defense company with multi-year program visibility [4]. ROE of 12.13% falls below the 15% target but is improving as FLRAA ramps. Profit margin of 6.13% is the primary drag, constrained by cost-plus defense contract margins and the lower-margin Industrial segment slated for separation [1]. Revenue growth YoY decelerated to 3% in Q2 2026 amid supply chain challenges, below the 10% target, though H1 was 7% overall. Estimated 5-year revenue CAGR of ~4% reflects post-COVID normalization and aerospace delivery timing. Stock clears the liquidity floor with ~$136M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Textron is a well-managed industrial conglomerate that operates with strategic discipline but without a compelling Just Cause. The company's identity has shifted repeatedly over 103 years — from textiles to conglomerate to focused aerospace/defense — driven by strategic logic and market opportunity rather than a purpose transcending any single business. The smooth CEO transition from Donnelly (16 years) to Atherton demonstrates organizational maturity, but Sinek would note the absence of a vision that employees join to advance rather than simply execute. The Industrial separation is portfolio optimization for valuation, not a purpose-driven pivot.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Textron has no articulated Just Cause. The mission statement is generic operational language ('innovative solutions and services') interchangeable with any industrial company [6]. The 103-year history shows remarkable strategic adaptability — textiles to conglomerate to aerospace/defense — but each pivot was driven by market opportunity, not a vision of a future state. The Industrial segment separation is explicitly framed as unlocking shareholder value, not advancing a cause. Sinek would classify this as a finite player optimizing for competitive advantage.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leadership transition from Donnelly (16-year CEO tenure) to Atherton (promoted internally after ~20 years at Textron, rising through Bell) is textbook succession planning suggesting organizational stability and internal trust [3]. Glassdoor 3.6/5 indicates adequate but not exceptional workplace culture. The multi-brand structure (Aviation, Bell, Systems) provides business unit autonomy. However, no specific evidence of exceptional psychological safety, employee empowerment, or cultural practices beyond standard industrial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Textron's competitive language centers on winning contracts (FLRAA victory over Sikorsky-Boeing) and financial performance metrics. No evidence of management publicly acknowledging competitors' strengths or using competitive pressure for self-improvement. The FLRAA win was celebrated as a victory over rivals rather than framed as motivation to build better rotorcraft for the end user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Textron has evolved from a textile company (1923) to a diversified conglomerate through acquisitions, and now sharpens focus on aerospace/defense through the planned Industrial segment separation and eAviation segment launch [1]. Each evolution was significant but incremental. The Industrial separation is a notable portfolio rationalization, and eAviation represents entry into a new market (electric aircraft). However, these are strategic optimizations driven by valuation logic, not a transformative pivot driven by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separate the Industrial segment (E-Z-GO, Kautex) sharpens aerospace/defense focus and demonstrates willingness to restructure for long-term positioning [1]. Multi-year investment in V-280 Valor and MV-75 tiltrotor programs represents significant capital commitment to next-generation technology with uncertain timelines. However, the nominal $0.08 annual dividend ($0.02/quarter) signals minimal shareholder commitment, and heavy insider selling undercuts executive conviction in the near-term story.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Textron at 11.11x forward earnings with PEG of 0.94 offers attractive valuation for an aerospace/defense company with $19.2B backlog and $70B+ V-280 Valor FLRAA program visibility [4]. H1 2026 revenue grew 7% YoY with Textron Aviation up $291M on strong Citation jet demand and Bell up $145M driven by MV-75 military program ramp [1]. Full-year 2026 adjusted EPS guidance of $6.40-$6.60 implies meaningful earnings growth. The planned Industrial segment separation will create a focused aerospace/defense pure-play with higher-margin profile, expected to command improved valuation multiples. New CEO Lisa Atherton brings 20 years of Textron experience and direct rotorcraft expertise from leading Bell, positioning her to execute the critical FLRAA production ramp [3]. D/E of 52.3% provides balance sheet flexibility for program investment.</w:t>
      </w:r>
    </w:p>
    <w:p>
      <w:pPr>
        <w:spacing w:after="120"/>
      </w:pPr>
      <w:r>
        <w:rPr>
          <w:rFonts w:ascii="Calibri" w:hAnsi="Calibri"/>
          <w:b w:val="0"/>
          <w:color w:val="3A4A28"/>
          <w:sz w:val="20"/>
        </w:rPr>
        <w:t>The bear case centers on execution risk, thin profitability, and Q2 deceleration. Q2 2026 revenue growth decelerated to only 3% from Q1's 12%, with supply chain challenges constraining deliveries and management flagging ongoing headwinds [1]. Profit margin of 6.13% is well below defense peers (Lockheed Martin 13%+, General Dynamics 11%+), and even post-Industrial separation margins may remain structurally lower due to cost-plus contract mix. ROE of 12.13% falls short of the 15% target. The V-280 Valor program carries significant development risk — cost overruns and schedule delays are endemic to major defense programs, and the MV-75 commercial tiltrotor enters an unproven market category. Stock is down ~21% from its 52-week high of $101.57, suggesting market skepticism about near-term execution [4]. The nominal $0.08 annual dividend and heavy insider selling signal limited management conviction in near-term shareholder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V-280 Valor FLRAA program milestones entering EMD phase with production contract decisions ahead, providing $70B+ lifecycle revenue visibility and potential for Bell segment margin expansion as the program scales [1]</w:t>
      </w:r>
    </w:p>
    <w:p>
      <w:pPr>
        <w:spacing w:before="40" w:after="40"/>
        <w:ind w:left="283"/>
      </w:pPr>
      <w:r>
        <w:rPr>
          <w:rFonts w:ascii="Calibri" w:hAnsi="Calibri"/>
          <w:b/>
          <w:color w:val="4A6B25"/>
          <w:sz w:val="20"/>
        </w:rPr>
        <w:t xml:space="preserve">2. </w:t>
      </w:r>
      <w:r>
        <w:rPr>
          <w:rFonts w:ascii="Calibri" w:hAnsi="Calibri"/>
          <w:b w:val="0"/>
          <w:color w:val="3A4A28"/>
          <w:sz w:val="20"/>
        </w:rPr>
        <w:t>Industrial segment separation expected within 12-18 months to unlock valuation re-rating as a focused aerospace/defense pure-play, eliminating the conglomerate discount on Aviation, Bell, and Systems segments [1]</w:t>
      </w:r>
    </w:p>
    <w:p>
      <w:pPr>
        <w:spacing w:before="40" w:after="40"/>
        <w:ind w:left="283"/>
      </w:pPr>
      <w:r>
        <w:rPr>
          <w:rFonts w:ascii="Calibri" w:hAnsi="Calibri"/>
          <w:b/>
          <w:color w:val="4A6B25"/>
          <w:sz w:val="20"/>
        </w:rPr>
        <w:t xml:space="preserve">3. </w:t>
      </w:r>
      <w:r>
        <w:rPr>
          <w:rFonts w:ascii="Calibri" w:hAnsi="Calibri"/>
          <w:b w:val="0"/>
          <w:color w:val="3A4A28"/>
          <w:sz w:val="20"/>
        </w:rPr>
        <w:t>Forward PEG of 0.94 with adjusted EPS guidance of $6.40-$6.60 suggests the market is undervaluing the multi-year earnings growth trajectory from FLRAA ramp, Citation jet demand, and post-separation margin improvement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V-280 Valor FLRAA development risk — complex tiltrotor technology replacing the proven Black Hawk carries inherent cost overrun and schedule delay risk endemic to major defense programs, and the MV-75 commercial variant enters an unproven market category [1]</w:t>
      </w:r>
    </w:p>
    <w:p>
      <w:pPr>
        <w:spacing w:before="40" w:after="40"/>
        <w:ind w:left="283"/>
      </w:pPr>
      <w:r>
        <w:rPr>
          <w:rFonts w:ascii="Calibri" w:hAnsi="Calibri"/>
          <w:b/>
          <w:color w:val="4A6B25"/>
          <w:sz w:val="20"/>
        </w:rPr>
        <w:t xml:space="preserve">2. </w:t>
      </w:r>
      <w:r>
        <w:rPr>
          <w:rFonts w:ascii="Calibri" w:hAnsi="Calibri"/>
          <w:b w:val="0"/>
          <w:color w:val="3A4A28"/>
          <w:sz w:val="20"/>
        </w:rPr>
        <w:t>Q2 2026 revenue growth deceleration to 3% from Q1's 12% with management citing supply chain challenges — sustained delivery constraints could compress full-year results below the $15.5B revenue guidance and $6.40-$6.60 EPS range [1]</w:t>
      </w:r>
    </w:p>
    <w:p>
      <w:pPr>
        <w:spacing w:before="40" w:after="40"/>
        <w:ind w:left="283"/>
      </w:pPr>
      <w:r>
        <w:rPr>
          <w:rFonts w:ascii="Calibri" w:hAnsi="Calibri"/>
          <w:b/>
          <w:color w:val="4A6B25"/>
          <w:sz w:val="20"/>
        </w:rPr>
        <w:t xml:space="preserve">3. </w:t>
      </w:r>
      <w:r>
        <w:rPr>
          <w:rFonts w:ascii="Calibri" w:hAnsi="Calibri"/>
          <w:b w:val="0"/>
          <w:color w:val="3A4A28"/>
          <w:sz w:val="20"/>
        </w:rPr>
        <w:t>Profit margin of 6.13% provides minimal buffer for execution missteps, and ROE of 12.13% underperforms capital-intensive aerospace peers, with heavy insider selling undermining management conviction in the near-term trajectory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Textron's core businesses are structurally immune to AI disruption — manufacturing aircraft (Cessna, Beechcraft), helicopters and tiltrotors (Bell), unmanned defense systems, and industrial vehicles requires physical production facilities, FAA/DoD certification, specialized materials, and deep engineering expertise that AI cannot substitute [1]. Defense contracts involve classified requirements, ITAR restrictions, security clearances, and decades-long procurement cycles creating regulatory moats. The V-280 Valor program alone provides $70B+ in revenue visibility immune to technological substitution. AI data center growth indirectly benefits defense spending and power infrastructure demand. AI Opportunity (0/1): While Textron deploys generative AI enterprise-wide for design optimization and manufacturing efficiency, the company does not generate separately identifiable AI revenue [3]. AI is an internal productivity tool, not a revenue-generating product line. Textron Systems' unmanned aircraft use some autonomous capabilities but are not marketed as AI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Textron Q2 2026 Earnings Release — H1 Revenue +7% YoY, Q2 Revenue +3%, Supply Chain Challenges, EPS Guidance $6.40-$6.60 Adjusted, Textron Investor Relations / Yahoo Finance, July 2026</w:t>
      </w:r>
    </w:p>
    <w:p>
      <w:pPr>
        <w:spacing w:before="20" w:after="20"/>
        <w:ind w:left="170"/>
      </w:pPr>
      <w:r>
        <w:rPr>
          <w:rFonts w:ascii="Calibri" w:hAnsi="Calibri"/>
          <w:b/>
          <w:color w:val="4A6B25"/>
          <w:sz w:val="15"/>
        </w:rPr>
        <w:t xml:space="preserve">2. </w:t>
      </w:r>
      <w:r>
        <w:rPr>
          <w:rFonts w:ascii="Calibri" w:hAnsi="Calibri"/>
          <w:b w:val="0"/>
          <w:color w:val="3A4A28"/>
          <w:sz w:val="17"/>
        </w:rPr>
        <w:t>Textron Q1 2026 Earnings Release and Industrial Segment Separation Announcement — Revenue $3.695B (+12%), Textron Investor Relations, April 2026</w:t>
      </w:r>
    </w:p>
    <w:p>
      <w:pPr>
        <w:spacing w:before="20" w:after="20"/>
        <w:ind w:left="170"/>
      </w:pPr>
      <w:r>
        <w:rPr>
          <w:rFonts w:ascii="Calibri" w:hAnsi="Calibri"/>
          <w:b/>
          <w:color w:val="4A6B25"/>
          <w:sz w:val="15"/>
        </w:rPr>
        <w:t xml:space="preserve">3. </w:t>
      </w:r>
      <w:r>
        <w:rPr>
          <w:rFonts w:ascii="Calibri" w:hAnsi="Calibri"/>
          <w:b w:val="0"/>
          <w:color w:val="3A4A28"/>
          <w:sz w:val="17"/>
        </w:rPr>
        <w:t>Textron AI &amp; Leadership — Gen AI Deployment Enterprise-Wide, CEO Transition Donnelly to Atherton (Jan 2026), Glassdoor 3.6/5, CIO.com / Washington Technology / Glassdoor,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TXT Key Statistics: Forward P/E 11.11x, PEG 0.94, D/E 52.3%, ROE 12.13%, Profit Margin 6.13%,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Textron ESG &amp; Insider Activity — ESG Risk Score 34 (High), Moderate Controversy, Net Insider Selling, Yahoo Finance / CapEdge, 2026</w:t>
      </w:r>
    </w:p>
    <w:p>
      <w:pPr>
        <w:spacing w:before="20" w:after="20"/>
        <w:ind w:left="170"/>
      </w:pPr>
      <w:r>
        <w:rPr>
          <w:rFonts w:ascii="Calibri" w:hAnsi="Calibri"/>
          <w:b/>
          <w:color w:val="4A6B25"/>
          <w:sz w:val="15"/>
        </w:rPr>
        <w:t xml:space="preserve">6. </w:t>
      </w:r>
      <w:r>
        <w:rPr>
          <w:rFonts w:ascii="Calibri" w:hAnsi="Calibri"/>
          <w:b w:val="0"/>
          <w:color w:val="3A4A28"/>
          <w:sz w:val="17"/>
        </w:rPr>
        <w:t>Textron Corporate Website — Mission Statement, Leadership, Segment Structure, textron.com,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