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UEC</w:t>
      </w:r>
      <w:r>
        <w:rPr>
          <w:rFonts w:ascii="Calibri" w:hAnsi="Calibri"/>
          <w:b/>
          <w:color w:val="1A2010"/>
          <w:sz w:val="40"/>
        </w:rPr>
        <w:t xml:space="preserve">  Uranium Energy Corp.</w:t>
      </w:r>
    </w:p>
    <w:p>
      <w:pPr>
        <w:spacing w:after="120"/>
      </w:pPr>
      <w:r>
        <w:rPr>
          <w:rFonts w:ascii="Calibri" w:hAnsi="Calibri"/>
          <w:b/>
          <w:color w:val="6E8450"/>
          <w:sz w:val="18"/>
        </w:rPr>
        <w:t>GROWTH SLEEVE · 2026-10-13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ASE · United States</w:t>
      </w:r>
    </w:p>
    <w:p>
      <w:pPr>
        <w:spacing w:after="80"/>
      </w:pPr>
      <w:r>
        <w:rPr>
          <w:rFonts w:ascii="Calibri" w:hAnsi="Calibri"/>
          <w:b w:val="0"/>
          <w:color w:val="3A4A28"/>
          <w:sz w:val="20"/>
        </w:rPr>
        <w:t>Uranium Energy Corp. is America's largest pure-play uranium producer, operating ISR extraction at Christensen Ranch (Wyoming) and Burke Hollow (Texas), with development-stage assets including the high-grade Roughrider deposit in Saskatchewan, Canada. FY2026 (ended July 2026) revenue was $37.25M with a net loss of $137M as the company ramps production, holding $495M cash and $753M total liquid assets with zero debt. CEO Amir Adnani has led the company since 2005.</w:t>
      </w:r>
    </w:p>
    <w:p>
      <w:r>
        <w:rPr>
          <w:rFonts w:ascii="Calibri" w:hAnsi="Calibri"/>
          <w:b/>
          <w:color w:val="6E8450"/>
          <w:sz w:val="18"/>
        </w:rPr>
        <w:t>257 Employees · https://www.uraniumenergy.com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UEC executed a significant transformation from exploration-stage company to active uranium producer over the past 5 years, acquiring UEX Corp and Rio Tinto's Roughrider deposit in Saskatchewan, then restarting ISR production at Christensen Ranch and Burke Hollow after years of standby mode [1]. This acquisition-led pivot opened a genuine new revenue stream, generating $37.25M in FY2026 from a near-zero base. AI Deployment (0/2): No AI-powered products or quantified AI-driven efficiency gains; uranium mining operations remain conventional with no disclosed automation or AI initiatives [2]. Market Share (1/2): UEC is the largest US-headquartered pure-play uranium company by market cap (~$4.4B), with significant domestic production capacity, though globally it remains small compared to Kazatomprom (~42% of world production) and Cameco [1]. Product Pipeline (1/2): Q4 FY2026 production surged 157% quarter-over-quarter at Christensen Ranch and Burke Hollow, with the Roughrider high-grade deposit providing future growth visibility, though specific production timelines and revenue targets remain vague [1]. R&amp;D Intensity (0/1): As a mining company, R&amp;D spending is minimal and below what would constitute top-quartile intensity in any comparable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UEC positions itself around 'Powering the Clean Energy Future,' connecting uranium production to decarbonization and energy security [3]. The mission clearly identifies what the company does and why — domestic energy independence through nuclear fuel — but is not distinctive enough to differentiate from any peer in the uranium sector. Community Impact (1/2): UEC published its inaugural sustainability report in 2023 and established a board-level Sustainability Committee overseeing climate risk, social impact, and human rights [3]. Sustainalytics rates UEC's ESG management as 'Strong' (ranked 11 of 223 in industry), though no specific dollar amounts for community investment programs were disclosed. Employee Retention (0/2): With 257 employees and only 9 Glassdoor reviews (4.5 rating, 100% recommend), the sample is too small to draw meaningful conclusions about retention or cultural quality beyond anecdotal praise for management and work-life balance. Insider Buying (0/2): No evidence of meaningful net insider buying by CEO Amir Adnani or other executives in the past 12 months was found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UEC's balance sheet is fortress-grade — D/E of 0.2% reflects zero debt against $495M cash and $753M total liquid assets (score 1.0) [1]. However, operating metrics are weak for an early-stage producer: ROE of -11.6% reflects the $137M net loss in FY2026 (score 0.0, 2× weight), profit margin is 0.0% (score 0.0), and revenue declined 44% YoY to $37.25M as sales volume dropped from 810k to 400k lbs (score 0.0) [1]. Forward P/E is negative at -119× (excluded as meaningless for a loss-making company). The PEG ratio of 1.37 reflects analyst expectations of significant earnings growth as production ramps (score 0.82, 2× weight). 5-year revenue CAGR excluded as the company had near-zero revenue five years ago. Daily dollar volume of ~$77.7M provides ample liquidity,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UEC demonstrates elements of long-term conviction — CEO Amir Adnani maintained uranium focus through the post-Fukushima downturn and strategically acquired assets when peers were exiting — but the company lacks a deeply articulated Just Cause beyond commodity production, has limited organizational depth with only 257 employees, and competitive rhetoric tends toward market-share capture rather than self-improvement. The company is relatively young (founded 2003) and has not yet been tested through the kind of multi-decade consistency that defines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UEC's cause centers on domestic uranium supply for clean energy and energy security, which connects to a larger purpose but reads more as market positioning than a deeply held organizational cause [3]. The company exists to supply uranium profitably — a valid business but not a transformative vision of a future state that inspires sacrifice. 'Powering the Clean Energy Future' functions as marketing rather than a strategic north star that shapes difficult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Amir Adnani has led UEC since 2005 (21-year tenure), providing consistent leadership through uranium's boom-bust cycles [2]. Glassdoor reviews (4.5/5, though only 9 reviews) cite positive culture, flexibility, and learning opportunities. However, the company's small size (257 employees) and limited public data on turnover or organizational culture make it impossible to rigorously assess trust dynamics at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UEC's competitive commentary tends toward market-share language — positioning itself as the largest US uranium company and emphasizing its asset base versus competitors rather than acknowledging what Cameco or Kazatomprom do better [2]. No evidence of management referencing learning from rivals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UEC evolved from a pure exploration company into an active producer through strategic acquisitions (UEX Corp, Roughrider) and production restarts (Christensen Ranch, Burke Hollow), entering adjacent markets in Canada beyond its original US-only focus [1]. The changes were incremental — expanding the asset portfolio and restarting mothballed operations — rather than a fundamental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Amir Adnani demonstrated conviction by maintaining UEC's uranium-pure focus and acquiring assets during the post-Fukushima downturn when uranium prices collapsed below $20/lb and peers were exiting the sector [1][2]. The $495M cash hoard and zero-debt balance sheet reflect disciplined capital allocation. However, there are limited examples of sacrificing near-term earnings for long-term capability — the company has not yet faced a profitable-but-misaligned opportunity it chose to walk away from.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UEC at $8.83 with a $4.4B market cap is the largest US-based pure-play uranium company entering a secular bull market for nuclear fuel — AI data center demand, global decarbonization mandates, and geopolitical supply concerns (Russia/Kazakhstan supply chain risk) create a structural demand tailwind for domestic uranium production [1]. The balance sheet is fortress-grade with $495M cash, $753M total liquid assets, and zero debt, providing the financial runway to fund the multi-year production ramp at Christensen Ranch, Burke Hollow, and the high-grade Roughrider deposit. Q4 FY2026 production surged 157% QoQ as unit costs declined, signaling operational inflection as the company scales toward meaningful positive cash flow [1].</w:t>
      </w:r>
    </w:p>
    <w:p>
      <w:pPr>
        <w:spacing w:after="120"/>
      </w:pPr>
      <w:r>
        <w:rPr>
          <w:rFonts w:ascii="Calibri" w:hAnsi="Calibri"/>
          <w:b w:val="0"/>
          <w:color w:val="3A4A28"/>
          <w:sz w:val="20"/>
        </w:rPr>
        <w:t>The bear case centers on pre-profitability execution risk and commodity price dependence. UEC reported a $137M net loss on just $37.25M in FY2026 revenue (down 44% YoY as sales volume fell from 810k to 400k lbs), with ROE of -11.6% and zero profit margin — the company burns significant cash despite favorable uranium spot prices [1]. At $4.4B market cap versus $37M revenue, the stock trades at ~118x trailing revenue, pricing in aggressive production growth that has yet to materialize consistently. Uranium spot prices remain volatile and influenced by geopolitical factors outside management's control. The PEG of 1.37 implies analysts expect a profitability inflection, but production timelines at early-stage ISR operations frequently slip, and the Roughrider development in Saskatchewan faces Canadian regulatory and capital cost risks. The stock has declined 57% from its 52-week high of $20.34, suggesting the market is discounting execution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electricity demand driving nuclear renaissance — US nuclear capacity additions and reactor restarts (Three Mile Island, Palisades) signal growing institutional commitment to nuclear power, directly increasing demand for domestic uranium that UEC is positioned to supply [1]</w:t>
      </w:r>
    </w:p>
    <w:p>
      <w:pPr>
        <w:spacing w:before="40" w:after="40"/>
        <w:ind w:left="283"/>
      </w:pPr>
      <w:r>
        <w:rPr>
          <w:rFonts w:ascii="Calibri" w:hAnsi="Calibri"/>
          <w:b/>
          <w:color w:val="4A6B25"/>
          <w:sz w:val="20"/>
        </w:rPr>
        <w:t xml:space="preserve">2. </w:t>
      </w:r>
      <w:r>
        <w:rPr>
          <w:rFonts w:ascii="Calibri" w:hAnsi="Calibri"/>
          <w:b w:val="0"/>
          <w:color w:val="3A4A28"/>
          <w:sz w:val="20"/>
        </w:rPr>
        <w:t>Production ramp inflection with Q4 FY2026 output up 157% QoQ at declining unit costs across Christensen Ranch and Burke Hollow, with the high-grade Roughrider deposit providing next-generation growth visibility [1]</w:t>
      </w:r>
    </w:p>
    <w:p>
      <w:pPr>
        <w:spacing w:before="40" w:after="40"/>
        <w:ind w:left="283"/>
      </w:pPr>
      <w:r>
        <w:rPr>
          <w:rFonts w:ascii="Calibri" w:hAnsi="Calibri"/>
          <w:b/>
          <w:color w:val="4A6B25"/>
          <w:sz w:val="20"/>
        </w:rPr>
        <w:t xml:space="preserve">3. </w:t>
      </w:r>
      <w:r>
        <w:rPr>
          <w:rFonts w:ascii="Calibri" w:hAnsi="Calibri"/>
          <w:b w:val="0"/>
          <w:color w:val="3A4A28"/>
          <w:sz w:val="20"/>
        </w:rPr>
        <w:t>Geopolitical uranium supply risk as Western utilities seek alternatives to Russian and Kazakh supply chains, benefiting the largest US-based producer with permitted, production-ready ISR assets and $495M cash to fund accelerated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Pre-profitability cash burn — $137M net loss in FY2026 on declining revenue with zero profit margin and negative ROE, creating dependence on the $495M cash reserve and potential future equity dilution through ATM issuances to fund the multi-year production ramp [1]</w:t>
      </w:r>
    </w:p>
    <w:p>
      <w:pPr>
        <w:spacing w:before="40" w:after="40"/>
        <w:ind w:left="283"/>
      </w:pPr>
      <w:r>
        <w:rPr>
          <w:rFonts w:ascii="Calibri" w:hAnsi="Calibri"/>
          <w:b/>
          <w:color w:val="4A6B25"/>
          <w:sz w:val="20"/>
        </w:rPr>
        <w:t xml:space="preserve">2. </w:t>
      </w:r>
      <w:r>
        <w:rPr>
          <w:rFonts w:ascii="Calibri" w:hAnsi="Calibri"/>
          <w:b w:val="0"/>
          <w:color w:val="3A4A28"/>
          <w:sz w:val="20"/>
        </w:rPr>
        <w:t>Commodity price dependence — uranium spot price volatility driven by geopolitical factors, utility contracting cycles, and potential supply additions from Kazakhstan/Africa could compress margins before production reaches profitable scale</w:t>
      </w:r>
    </w:p>
    <w:p>
      <w:pPr>
        <w:spacing w:before="40" w:after="40"/>
        <w:ind w:left="283"/>
      </w:pPr>
      <w:r>
        <w:rPr>
          <w:rFonts w:ascii="Calibri" w:hAnsi="Calibri"/>
          <w:b/>
          <w:color w:val="4A6B25"/>
          <w:sz w:val="20"/>
        </w:rPr>
        <w:t xml:space="preserve">3. </w:t>
      </w:r>
      <w:r>
        <w:rPr>
          <w:rFonts w:ascii="Calibri" w:hAnsi="Calibri"/>
          <w:b w:val="0"/>
          <w:color w:val="3A4A28"/>
          <w:sz w:val="20"/>
        </w:rPr>
        <w:t>Revenue timing volatility — FY2026 sales volume of 400k lbs fell 51% YoY despite production increases, suggesting potential timing mismatches between production, inventory management, and contract sales delivery that make financial forecasting unreliable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Uranium mining and processing is a physical-world extractive operation that AI structurally cannot displace — ISR wellfield operations, yellowcake processing, and nuclear fuel supply chains require physical infrastructure, geological expertise, and heavy regulatory oversight (NRC licensing, state permits) that no AI system can substitute [2][3]. Moreover, AI is a net demand driver for uranium: the explosive growth of AI data centers is driving unprecedented electricity demand, with nuclear power increasingly positioned as the only scalable carbon-free baseload source to meet it (Three Mile Island restart, Palisades restart). UEC is a direct beneficiary of the AI-driven nuclear renaissance. AI Opportunity (0/1): UEC generates no revenue from AI-related products or services; the company is a pure-play commodity producer with no AI technology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Uranium Energy Corp FY2026 10-K and Q4 Earnings Call — Revenue $37.25M, Net Loss $137M, Q4 Production +157% QoQ, 400k lbs Sold — SEC Filing, Motley Fool, Investing.com, September 2026</w:t>
      </w:r>
    </w:p>
    <w:p>
      <w:pPr>
        <w:spacing w:before="20" w:after="20"/>
        <w:ind w:left="170"/>
      </w:pPr>
      <w:r>
        <w:rPr>
          <w:rFonts w:ascii="Calibri" w:hAnsi="Calibri"/>
          <w:b/>
          <w:color w:val="4A6B25"/>
          <w:sz w:val="15"/>
        </w:rPr>
        <w:t xml:space="preserve">2. </w:t>
      </w:r>
      <w:r>
        <w:rPr>
          <w:rFonts w:ascii="Calibri" w:hAnsi="Calibri"/>
          <w:b w:val="0"/>
          <w:color w:val="3A4A28"/>
          <w:sz w:val="17"/>
        </w:rPr>
        <w:t>Uranium Energy Corp Leadership and Culture — CEO Amir Adnani (21-year tenure), Glassdoor 4.5/5 (9 reviews, 100% Recommend), ISR Operations — MarketScreener, Glassdoor, 2022-2026</w:t>
      </w:r>
    </w:p>
    <w:p>
      <w:pPr>
        <w:spacing w:before="20" w:after="20"/>
        <w:ind w:left="170"/>
      </w:pPr>
      <w:r>
        <w:rPr>
          <w:rFonts w:ascii="Calibri" w:hAnsi="Calibri"/>
          <w:b/>
          <w:color w:val="4A6B25"/>
          <w:sz w:val="15"/>
        </w:rPr>
        <w:t xml:space="preserve">3. </w:t>
      </w:r>
      <w:r>
        <w:rPr>
          <w:rFonts w:ascii="Calibri" w:hAnsi="Calibri"/>
          <w:b w:val="0"/>
          <w:color w:val="3A4A28"/>
          <w:sz w:val="17"/>
        </w:rPr>
        <w:t>Uranium Energy Corp ESG and Sustainability — Sustainalytics ESG Risk 23.8 Medium (Rank 11/223, Management Strong), Board Sustainability Committee, Inaugural Report FY2023 — Sustainalytics, PR Newswire,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