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UE</w:t>
      </w:r>
      <w:r>
        <w:rPr>
          <w:rFonts w:ascii="Calibri" w:hAnsi="Calibri"/>
          <w:b/>
          <w:color w:val="1A2010"/>
          <w:sz w:val="40"/>
        </w:rPr>
        <w:t xml:space="preserve">  Urban Edge Properties</w:t>
      </w:r>
    </w:p>
    <w:p>
      <w:pPr>
        <w:spacing w:after="120"/>
      </w:pPr>
      <w:r>
        <w:rPr>
          <w:rFonts w:ascii="Calibri" w:hAnsi="Calibri"/>
          <w:b/>
          <w:color w:val="6E8450"/>
          <w:sz w:val="18"/>
        </w:rPr>
        <w:t>DIVIDEND SLEEVE · 2026-10-02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Retail · NYQ · United States</w:t>
      </w:r>
    </w:p>
    <w:p>
      <w:pPr>
        <w:spacing w:after="80"/>
      </w:pPr>
      <w:r>
        <w:rPr>
          <w:rFonts w:ascii="Calibri" w:hAnsi="Calibri"/>
          <w:b w:val="0"/>
          <w:color w:val="3A4A28"/>
          <w:sz w:val="20"/>
        </w:rPr>
        <w:t>Urban Edge Properties is a NYSE-listed REIT focused on owning, managing, acquiring, developing, and redeveloping retail real estate in urban communities, primarily in the Washington, D.C. to Boston corridor. The company owns 74 properties totaling 16.0 million square feet of gross leasable area. In Q2 2026, UE reported record FFO as adjusted of $0.40 per share (up 10% YoY) and raised full-year FFO guidance to $1.57-$1.60 per diluted share, with same-property NOI growth guidance lifted to 3.25%-3.75%.</w:t>
      </w:r>
    </w:p>
    <w:p>
      <w:r>
        <w:rPr>
          <w:rFonts w:ascii="Calibri" w:hAnsi="Calibri"/>
          <w:b/>
          <w:color w:val="6E8450"/>
          <w:sz w:val="18"/>
        </w:rPr>
        <w:t>104 Employees · https://www.uedge.com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UE has executed a steady repositioning strategy since its 2015 Vornado spin-off, redeveloping and remerchandising properties across its 74-asset urban retail portfolio, but no transformative business model pivots or breakthrough product launches in the past five years — growth has been incremental through lease-up and redevelopment of existing sites [1][2]. AI Deployment (0/2): No evidence of AI-powered products or quantifiable AI-driven operational savings; property management and leasing operations remain traditionally managed with standard proptech tools. Market Share (1/2): UE is a meaningful player in the urban infill retail REIT niche along the DC-to-Boston corridor with 16M sq ft of GLA, but is not a category leader — far smaller than peers like Kimco Realty or Federal Realty in total assets and market cap [1]. Product Pipeline (1/2): Active redevelopment pipeline is generating results — raised same-property NOI growth guidance to 3.25%-3.75% in Q2 2026 reflects ongoing lease-up — but specific project timelines and per-property revenue visibility are limited in public disclosures [2]. R&amp;D Intensity (0/1): REITs do not invest in traditional R&amp;D; capital is deployed through property redevelopment and acquisitions.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UE's stated purpose — owning and redeveloping retail real estate in urban communities — is a functional business description rather than an inspiring mission; it identifies what the company does but lacks articulation of a deeper purpose or vision for the communities it serves [3]. Community Impact (1/2): The UE Cares volunteer committee partners with local organizations for community impact, and the company achieved a 33% reduction in scope 1 and 2 GHG emissions since 2015, demonstrating some environmental commitment [3]. However, giving programs are modest relative to peer REITs and lack specific dollar commitments. Employee Retention (1/2): With only 104 full-time employees, UE operates with a lean team; CEO Jeff Olson has led the company since the 2014 spin-off, providing 12 years of leadership continuity, and management team average tenure is 5.2 years [4]. Insider Buying (0/2): No evidence of meaningful net insider buying by CEO Olson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D/E of 126.6% is elevated versus the 70% target (score 0.75), typical for a leveraged REIT structure with $1.74B in total debt against $58M cash [1]. ROE of 5.1% is weak versus the 15% target (score 0.34), depressed by REIT GAAP accounting where depreciation reduces net income well below FFO [1]. Revenue growth of 7.6% YoY approaches the 10% target (score 0.92), and the 3-year revenue CAGR of approximately 5.8% from $398M in 2022 to $472M in 2025 scores 0.72 [1][2]. Forward P/E of 41.2 is elevated (score 0.47), though REIT P/E ratios are structurally inflated by depreciation charges. Profit margin of 13.9% is below the 20% target (score 0.70). Payout ratio of 150.9% (GAAP-based) exceeds the 100% floor (score 0.0), though on an FFO basis the payout is approximately 53%. Consecutive years paid is approximately 5 since the post-COVID resumption in 2021 (score 0.50, 2x weight). Consecutive years of dividend growth is 3 (score 0.30). The 5-year dividend growth CAGR of approximately 6.1% exceeds the 6% target (score 1.0, 2x weight). Daily dollar volume of $15.7M clears the liquidity floor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Urban Edge Properties operates as a competent but conventionally managed retail REIT without a distinctive Just Cause beyond generating returns from urban retail real estate. CEO Jeff Olson has provided stable 12-year leadership since the 2015 Vornado spin-off, executing a disciplined redevelopment and leasing strategy that has steadily grown FFO. However, the company lacks evidence of transformative strategic flexibility, with no major business model pivots or bold long-term bets that would distinguish it as an infinite game player. Glassdoor reviews raise concerns about senior leadership transparency and vision, suggesting a culture focused more on quarterly execution than advancing a deeper organizational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UE's purpose is functional — owning and redeveloping urban retail real estate in the DC-to-Boston corridor. This is a business strategy, not a Just Cause in Sinek's framework. There is no articulated vision of a better future that transcends shareholder returns. The company's focus on urban communities could form the basis of a deeper purpose, but leadership has not elevated it beyond a geographic investment thesis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UE operates with a lean 104-person team, and CEO Olson's 12-year tenure provides leadership stability [4]. Management team average tenure of 5.2 years is adequate. However, Glassdoor reviews reveal mixed sentiment — while some employees praise the culture and collaboration, others cite lack of transparency from senior leadership and concerns about strategic direction, suggesting an adequate but not exceptional trust environment.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in public commentary or earnings calls that UE management frames competition in an infinite game context. The company does not publicly reference learning from peers like Federal Realty or Kimco Realty, and competitive positioning is framed in traditional market terms of location quality and lease rates rather than self-improvement driven by rival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UE has evolved from a pure-play Vornado spin-off focused on asset disposition to an active redevelopment and value-creation platform, demonstrating some adaptability [1]. The company has shifted tenant mix toward grocery-anchored and necessity-based retail in response to e-commerce disruption, showing pragmatic adaptation. However, these are incremental adjustments, not transformative reinventions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UE has invested consistently in property redevelopment during uncertain retail environments, maintaining capital deployment discipline even as traditional retail faced secular headwinds from e-commerce [1][2]. The decision to raise dividends consistently — from $0.60 annualized in 2021 to $0.84 currently — while simultaneously investing in redevelopment projects demonstrates some balance of short-term returns with long-term capability building.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Urban Edge Properties at $19.56 with a $2.7B market cap is a well-positioned urban retail REIT delivering accelerating operational performance — Q2 2026 FFO as adjusted hit a record $0.40 per share (up 10% YoY), management raised full-year FFO guidance to $1.57-$1.60 per share (6% growth over 2025), and same-property NOI growth guidance was lifted to 3.25%-3.75% [1][2]. The 74-property portfolio in the DC-to-Boston corridor benefits from high barriers to entry, grocery-anchored tenant mixes, and strong urban demographics driving occupancy gains, while the dividend yield of 4.3% with consistent annual increases provides income investors attractive current returns.</w:t>
      </w:r>
    </w:p>
    <w:p>
      <w:pPr>
        <w:spacing w:after="120"/>
      </w:pPr>
      <w:r>
        <w:rPr>
          <w:rFonts w:ascii="Calibri" w:hAnsi="Calibri"/>
          <w:b w:val="0"/>
          <w:color w:val="3A4A28"/>
          <w:sz w:val="20"/>
        </w:rPr>
        <w:t>The bear case centers on REIT structural limitations and valuation. At 41.2x forward GAAP P/E, the stock appears expensive, though FFO multiples of roughly 13x are more appropriate for REIT valuation and suggest reasonable pricing. The 126.6% D/E ratio and $1.74B debt load create interest rate sensitivity — sustained higher-for-longer rates would pressure both asset values and refinancing costs [1]. GAAP ROE of just 5.1% and profit margins of 13.9% reflect the capital-intensive, depreciation-heavy nature of the REIT model. Revenue growth of 7.6% YoY is respectable but falls short of double-digit targets, and the GAAP payout ratio of 150.9% underscores dependence on depreciation add-backs to support the dividend (FFO payout is a healthier ~53%). The company's small size — 104 employees and a $2.7B market cap — limits operational bandwidth for larger-scale redevelopment ambitions and creates concentration risk in a single geographic corridor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FFO trajectory with raised 2026 guidance of $1.57-$1.60 per share and same-property NOI growth of 3.25%-3.75%, driven by lease-up of redeveloped properties and positive rent spreads across the urban infill portfolio [1][2]</w:t>
      </w:r>
    </w:p>
    <w:p>
      <w:pPr>
        <w:spacing w:before="40" w:after="40"/>
        <w:ind w:left="283"/>
      </w:pPr>
      <w:r>
        <w:rPr>
          <w:rFonts w:ascii="Calibri" w:hAnsi="Calibri"/>
          <w:b/>
          <w:color w:val="4A6B25"/>
          <w:sz w:val="20"/>
        </w:rPr>
        <w:t xml:space="preserve">2. </w:t>
      </w:r>
      <w:r>
        <w:rPr>
          <w:rFonts w:ascii="Calibri" w:hAnsi="Calibri"/>
          <w:b w:val="0"/>
          <w:color w:val="3A4A28"/>
          <w:sz w:val="20"/>
        </w:rPr>
        <w:t>Grocery-anchored and necessity-based tenant mix in supply-constrained urban markets along the DC-to-Boston corridor provides defensive positioning and organic rent growth as limited new retail supply supports landlord pricing power</w:t>
      </w:r>
    </w:p>
    <w:p>
      <w:pPr>
        <w:spacing w:before="40" w:after="40"/>
        <w:ind w:left="283"/>
      </w:pPr>
      <w:r>
        <w:rPr>
          <w:rFonts w:ascii="Calibri" w:hAnsi="Calibri"/>
          <w:b/>
          <w:color w:val="4A6B25"/>
          <w:sz w:val="20"/>
        </w:rPr>
        <w:t xml:space="preserve">3. </w:t>
      </w:r>
      <w:r>
        <w:rPr>
          <w:rFonts w:ascii="Calibri" w:hAnsi="Calibri"/>
          <w:b w:val="0"/>
          <w:color w:val="3A4A28"/>
          <w:sz w:val="20"/>
        </w:rPr>
        <w:t>Consistent dividend growth from $0.60 annualized in 2021 to $0.84 currently (40% cumulative increase) signals management confidence in sustainable FFO growth and positions UE as an attractive income vehicle at a 4.3% yield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Interest rate sensitivity with 126.6% D/E ratio and $1.74B in debt — sustained higher rates would pressure property valuations, increase refinancing costs, and compress FFO relative to debt service obligations [1]</w:t>
      </w:r>
    </w:p>
    <w:p>
      <w:pPr>
        <w:spacing w:before="40" w:after="40"/>
        <w:ind w:left="283"/>
      </w:pPr>
      <w:r>
        <w:rPr>
          <w:rFonts w:ascii="Calibri" w:hAnsi="Calibri"/>
          <w:b/>
          <w:color w:val="4A6B25"/>
          <w:sz w:val="20"/>
        </w:rPr>
        <w:t xml:space="preserve">2. </w:t>
      </w:r>
      <w:r>
        <w:rPr>
          <w:rFonts w:ascii="Calibri" w:hAnsi="Calibri"/>
          <w:b w:val="0"/>
          <w:color w:val="3A4A28"/>
          <w:sz w:val="20"/>
        </w:rPr>
        <w:t>Limited scale with 74 properties and a $2.7B market cap constrains UE's ability to compete with larger retail REITs like Kimco ($15B+ market cap) for acquisitions and creates concentration risk in the Northeast corridor</w:t>
      </w:r>
    </w:p>
    <w:p>
      <w:pPr>
        <w:spacing w:before="40" w:after="40"/>
        <w:ind w:left="283"/>
      </w:pPr>
      <w:r>
        <w:rPr>
          <w:rFonts w:ascii="Calibri" w:hAnsi="Calibri"/>
          <w:b/>
          <w:color w:val="4A6B25"/>
          <w:sz w:val="20"/>
        </w:rPr>
        <w:t xml:space="preserve">3. </w:t>
      </w:r>
      <w:r>
        <w:rPr>
          <w:rFonts w:ascii="Calibri" w:hAnsi="Calibri"/>
          <w:b w:val="0"/>
          <w:color w:val="3A4A28"/>
          <w:sz w:val="20"/>
        </w:rPr>
        <w:t>GAAP payout ratio of 150.9% exceeds net income, sustainable only because FFO materially exceeds GAAP earnings — any meaningful decline in property NOI or unexpected capital expenditures would pressure the current dividend level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Physical real estate ownership is structurally immune to AI substitution — tenants need physical retail space for grocery-anchored centers, pharmacies, restaurants, and service retailers regardless of AI advances, and UE's 74-property urban infill portfolio in the DC-to-Boston corridor benefits from irreplaceable locations with high barriers to entry [1]. E-commerce has already stress-tested the retail REIT model, and UE's grocery-anchored, necessity-based tenant mix has proven resilient. AI may modestly enhance property management efficiency through smart building systems and predictive maintenance, but the core asset base is unthreatened. AI Opportunity (0/1): UE does not generate revenue from AI-related products or services; the company has not disclosed any AI-driven revenue streams or quantifiable AI-enabled operational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Urban Edge Properties Q2 2026 Earnings Release — Record FFO as Adjusted $0.40/share (+10% YoY), Raised Full-Year Guidance to $1.57-$1.60/share, Nasdaq, August 2026</w:t>
      </w:r>
    </w:p>
    <w:p>
      <w:pPr>
        <w:spacing w:before="20" w:after="20"/>
        <w:ind w:left="170"/>
      </w:pPr>
      <w:r>
        <w:rPr>
          <w:rFonts w:ascii="Calibri" w:hAnsi="Calibri"/>
          <w:b/>
          <w:color w:val="4A6B25"/>
          <w:sz w:val="15"/>
        </w:rPr>
        <w:t xml:space="preserve">2. </w:t>
      </w:r>
      <w:r>
        <w:rPr>
          <w:rFonts w:ascii="Calibri" w:hAnsi="Calibri"/>
          <w:b w:val="0"/>
          <w:color w:val="3A4A28"/>
          <w:sz w:val="17"/>
        </w:rPr>
        <w:t>Urban Edge Properties Q1 2026 Earnings — Revenue $132.6M (+13.6% Beat), FFO Beats Expectations, Investing.com Transcript, May 2026</w:t>
      </w:r>
    </w:p>
    <w:p>
      <w:pPr>
        <w:spacing w:before="20" w:after="20"/>
        <w:ind w:left="170"/>
      </w:pPr>
      <w:r>
        <w:rPr>
          <w:rFonts w:ascii="Calibri" w:hAnsi="Calibri"/>
          <w:b/>
          <w:color w:val="4A6B25"/>
          <w:sz w:val="15"/>
        </w:rPr>
        <w:t xml:space="preserve">3. </w:t>
      </w:r>
      <w:r>
        <w:rPr>
          <w:rFonts w:ascii="Calibri" w:hAnsi="Calibri"/>
          <w:b w:val="0"/>
          <w:color w:val="3A4A28"/>
          <w:sz w:val="17"/>
        </w:rPr>
        <w:t>Urban Edge Properties 2022-2023 ESG Report — 33% GHG Emissions Reduction Since 2015, UE Cares Community Program, uedge.com</w:t>
      </w:r>
    </w:p>
    <w:p>
      <w:pPr>
        <w:spacing w:before="20" w:after="20"/>
        <w:ind w:left="170"/>
      </w:pPr>
      <w:r>
        <w:rPr>
          <w:rFonts w:ascii="Calibri" w:hAnsi="Calibri"/>
          <w:b/>
          <w:color w:val="4A6B25"/>
          <w:sz w:val="15"/>
        </w:rPr>
        <w:t xml:space="preserve">4. </w:t>
      </w:r>
      <w:r>
        <w:rPr>
          <w:rFonts w:ascii="Calibri" w:hAnsi="Calibri"/>
          <w:b w:val="0"/>
          <w:color w:val="3A4A28"/>
          <w:sz w:val="17"/>
        </w:rPr>
        <w:t>Urban Edge Properties Leadership — CEO Jeff Olson Since 2014, Management Tenure 5.2 Years Average, Simply Wall St and Craft.co,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