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UL</w:t>
      </w:r>
      <w:r>
        <w:rPr>
          <w:rFonts w:ascii="Calibri" w:hAnsi="Calibri"/>
          <w:b/>
          <w:color w:val="1A2010"/>
          <w:sz w:val="40"/>
        </w:rPr>
        <w:t xml:space="preserve">  Unilever PLC</w:t>
      </w:r>
    </w:p>
    <w:p>
      <w:pPr>
        <w:spacing w:after="120"/>
      </w:pPr>
      <w:r>
        <w:rPr>
          <w:rFonts w:ascii="Calibri" w:hAnsi="Calibri"/>
          <w:b/>
          <w:color w:val="6E8450"/>
          <w:sz w:val="18"/>
        </w:rPr>
        <w:t>DIVIDEND SLEEVE · 2026-09-02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Household &amp; Personal Products · NYSE · United Kingdom</w:t>
      </w:r>
    </w:p>
    <w:p>
      <w:pPr>
        <w:spacing w:after="80"/>
      </w:pPr>
      <w:r>
        <w:rPr>
          <w:rFonts w:ascii="Calibri" w:hAnsi="Calibri"/>
          <w:b w:val="0"/>
          <w:color w:val="3A4A28"/>
          <w:sz w:val="20"/>
        </w:rPr>
        <w:t>Unilever PLC is a global consumer goods company operating across Beauty &amp; Wellbeing, Personal Care, Home Care, and Nutrition segments following the 2025 separation of its Ice Cream business. Power Brands (Dove, Knorr, Hellmann's, Rexona, OMO, Lux) represent approximately 78% of turnover. Under new CEO Fernando Fernandez, the company is pursuing a 'Desire at Scale' strategy focused on premiumization, beauty, e-commerce, and geographic expansion in the US and India. H1 2026 delivered 4.8% underlying sales growth with 4.2% volume growth, and Q2 2026's 5.5% volume growth was the best quarterly volume performance in more than a decade.</w:t>
      </w:r>
    </w:p>
    <w:p>
      <w:r>
        <w:rPr>
          <w:rFonts w:ascii="Calibri" w:hAnsi="Calibri"/>
          <w:b/>
          <w:color w:val="6E8450"/>
          <w:sz w:val="18"/>
        </w:rPr>
        <w:t>100,000 Employees · https://www.unilever.com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Unilever's separation of the Ice Cream business (Ben &amp; Jerry's, Magnum, Wall's) in 2025 was a significant strategic restructuring, refocusing the portfolio on higher-margin categories [1]. CEO Fernandez's 'Desire at Scale' strategy and review of 200 leadership positions to eradicate 'pockets of mediocrity' (replacing ~25%) represent organizational transformation [2]. However, no transformative new product launches or business model pivots comparable to category-defining innovation. AI Deployment (1/2): AI-powered content creation is fueling a marketing transformation, with new technology combining AI, physics, and material science helping marketing teams create product imagery faster and more cost-effectively [3]. Unilever is building a digital twin of its global supply chain using satellite imagery and AI to simulate disruptions and inform proactive logistics decisions [3]. Over 500 AI systems deployed worldwide. These are internal efficiency tools, not AI products sold to customers. Market Share (2/2): Unilever is a category leader across multiple global markets — Dove is #1 in global beauty bar, Knorr leads seasonings in many markets, OMO dominates laundry in emerging markets [1]. Power Brands grew 5.0% with 4.0% volume growth in Q1 2026, accelerating to 5.8% USG in Q2 2026 [1]. Product Pipeline (0/2): No specific next-generation products with named launch timelines. Innovation remains brand-level refresh, reformulation, and premiumization rather than pipeline-driven breakthroughs. R&amp;D Intensity (0/1): R&amp;D spending approximately 1.5% of revenue, below peers like P&amp;G (~2.7%), not in the top quartile for consumer staples.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Unilever's stated purpose — 'to make sustainable living commonplace' — was pioneered under Paul Polman and shaped strategic decisions for a decade [4]. However, under successive CEOs Schumacher and now Fernandez, the purpose has been deprioritized in favor of growth-focused 'Desire at Scale' strategy, premiumization, and financial performance metrics [2]. The ESG rollbacks (plastic reduction pledges weakened, living wage commitment dropped, diversity hiring targets abandoned) demonstrate the mission is no longer guiding strategic decisions [4]. The purpose statement remains but reads increasingly as legacy language rather than active strategic compass. Community Impact (1/2): Unilever maintains community development initiatives across emerging markets and supplier education programs. However, the rollback of the $2B diverse supplier commitment, disability hiring target, and plastic reduction pledge represents material retreat from community impact commitments [4]. General corporate philanthropy remains. Employee Retention (0/2): CEO Fernandez is reviewing 200 senior leadership positions with approximately 25% to be replaced to eradicate 'pockets of mediocrity' — creating significant organizational uncertainty at the leadership level [2]. No specific employee retention, tenure, or turnover data available for the 100,000-employee organization. Insider Buying (0/2): No evidence of meaningful net insider buying by CEO Fernandez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161% scores 0.604 — elevated but manageable for a consumer staples company with stable cash flows and €5.88B cash [5]. ROE of 30.96% scores 1.0, demonstrating efficient capital deployment. Revenue growth YoY of -3.8% (reported, distorted by Ice Cream separation) scores 0.540 — underlying sales growth was positive at 4.8% in H1 2026 [1]. Revenue growth 5yr CAGR of approximately 3% scores 0.533. Forward P/E of 17.52 scores 1.0 — reasonable valuation for a global consumer staples franchise [5]. Profit margin of 18.75% scores 0.938. Payout ratio of 47% scores 0.883. Consecutive years paid approximately 89 (since 1937) scores 1.0 at 2x weight — among the longest dividend histories globally. Consecutive years growth of approximately 10 scores 1.0. 5yr dividend growth CAGR of 1.43% scores 0.238 at 2x weight — the weakest metric, barely keeping pace with inflation. Underlying operating margin improved to 20.3% in H1 2026, up 10bps [1]. FCF improved by €0.5B to €1.5B.</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Unilever presents a conflicted infinite game picture. The company built a genuine Just Cause under Paul Polman ('make sustainable living commonplace') and demonstrated existential flexibility by separating the Ice Cream business. However, successive CEOs Schumacher and Fernandez have systematically deprioritized purpose in favor of financial performance — rolling back ESG commitments, dropping diversity pledges, and refocusing on premiumization and growth under the 'Desire at Scale' banner [2][4]. Fernandez's review of 200 leadership positions with ~25% to be replaced signals aggressive restructuring that prioritizes execution over continuity. The tension between Polman's purpose-driven legacy and the current growth-first pragmatism defines the company's identity.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'Make sustainable living commonplace' was a genuine cause under Polman that connected Unilever's business to a larger societal purpose and shaped strategic decisions for a decade [4]. However, successive CEOs have systematically weakened it — Schumacher rolled back ESG targets (plastic reduction, living wages, diversity hiring), and Fernandez has replaced purpose-driven language with growth-focused 'Desire at Scale' and 'more beauty, more premium, more ecommerce' priorities [2]. A Just Cause that is being actively abandoned under new leadership does not endure — Sinek would view this as the cause failing its first real test.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Unilever has approximately 100,000 employees globally with a well-regarded talent development program (Future Leaders Program). However, CEO Fernandez's review of 200 senior leadership positions with approximately 25% slated for replacement to eradicate 'pockets of mediocrity' creates significant organizational anxiety at the leadership level [2]. The rapid CEO succession (Polman → Jope → Schumacher → Fernandez in 5 years) undermines the stability that builds deep organizational trust. No specific retention or tenure data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Unilever has historically positioned itself as a purpose-led alternative to P&amp;G rather than trying to destroy competitors. Fernandez's premiumization strategy explicitly learns from L'Oréal's premium positioning and P&amp;G's financial discipline, framing competition as motivation for self-improvement rather than a war to win [2]. The company acknowledges competitors' strengths in operational execution and uses competitive pressure to drive its own portfolio transformation.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2025 separation of the Ice Cream business (Magnum, Ben &amp; Jerry's, Wall's) was a significant strategic shift, abandoning a profitable legacy business to refocus on higher-growth, higher-margin categories [1]. Unilever has evolved from a colonial-era soap and margarine company to a global personal care, beauty, and nutrition powerhouse over more than a century. However, these are incremental evolutions over decades rather than transformative pivots — no single moment of existential reinvention comparable to Apple's Mac-to-iPhone transition.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Fernandez demonstrated some courage by reviewing 200 senior leadership positions and committing to replace ~25% to eradicate 'pockets of mediocrity' — a bold organizational move [2]. The Ice Cream separation despite iconic brands (Ben &amp; Jerry's, Magnum) showed willingness to sacrifice revenue for strategic focus. However, the systematic rollback of ESG commitments under Schumacher and Fernandez — extending sustainability deadlines, dropping plastic and diversity pledges — represents choosing short-term profitability over long-term purpose, the opposite of Sinek's courageous leadership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Unilever offers defensive stability with a 3.84% dividend yield, 89-year consecutive payment history (since 1937), and reasonable forward P/E of 17.52x backed by 30.96% ROE [5]. H1 2026 demonstrated accelerating momentum under CEO Fernandez: underlying sales growth of 4.8% with 4.2% volume growth, and Q2 2026's 5.5% volume growth was the best quarterly performance in more than a decade [1]. Underlying operating margin improved to 20.3%, FCF improved by €0.5B to €1.5B, and the full-year outlook was upgraded to 4-6% USG. Power Brands (78% of turnover) are the growth engine, and the 'Desire at Scale' strategy's seven priorities — more beauty, wellbeing, personal care, premium, ecommerce, US, India — provide a clear execution roadmap. At $64.77, the stock trades at a discount to Polman-era valuations, creating potential re-rating if mid-single-digit growth sustains.</w:t>
      </w:r>
    </w:p>
    <w:p>
      <w:pPr>
        <w:spacing w:after="120"/>
      </w:pPr>
      <w:r>
        <w:rPr>
          <w:rFonts w:ascii="Calibri" w:hAnsi="Calibri"/>
          <w:b w:val="0"/>
          <w:color w:val="3A4A28"/>
          <w:sz w:val="20"/>
        </w:rPr>
        <w:t>The bear case centers on anemic long-term growth and purpose erosion. The 5-year revenue CAGR of only 3% (including the Ice Cream separation distortion) reflects chronic underperformance versus consumer staples peers, and the 5-year dividend growth CAGR of just 1.43% barely keeps pace with inflation, undermining the income case for the Dividend sleeve [5]. D/E of 161% with €33.2B in debt against €5.88B cash is elevated for a consumer staples company. Reported revenue declined 3.8% in 2025, and while this reflects the Ice Cream separation rather than organic decline, it compresses trailing metrics. CEO Fernandez is the fourth CEO in five years (Polman → Jope → Schumacher → Fernandez), creating leadership instability that undermines long-term strategic execution. The ESG rollbacks — dropped plastic reduction, living wage, and diversity pledges — risk alienating purpose-driven institutional investors who supported Unilever's premium valuation under Polman [4]. The Inspire Impact Score of -67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volume growth of 5.5% — best quarterly volume performance in more than a decade — suggests 'Desire at Scale' and premiumization strategies are gaining traction, potentially sustaining mid-single-digit USG and driving re-rating [1]</w:t>
      </w:r>
    </w:p>
    <w:p>
      <w:pPr>
        <w:spacing w:before="40" w:after="40"/>
        <w:ind w:left="283"/>
      </w:pPr>
      <w:r>
        <w:rPr>
          <w:rFonts w:ascii="Calibri" w:hAnsi="Calibri"/>
          <w:b/>
          <w:color w:val="4A6B25"/>
          <w:sz w:val="20"/>
        </w:rPr>
        <w:t xml:space="preserve">2. </w:t>
      </w:r>
      <w:r>
        <w:rPr>
          <w:rFonts w:ascii="Calibri" w:hAnsi="Calibri"/>
          <w:b w:val="0"/>
          <w:color w:val="3A4A28"/>
          <w:sz w:val="20"/>
        </w:rPr>
        <w:t>Underlying operating margin expansion to 20.3% (+10bps) with FCF improvement of €0.5B demonstrates portfolio quality improvement post-Ice Cream separation, with further margin gains expected as the simpler portfolio generates operating leverage</w:t>
      </w:r>
    </w:p>
    <w:p>
      <w:pPr>
        <w:spacing w:before="40" w:after="40"/>
        <w:ind w:left="283"/>
      </w:pPr>
      <w:r>
        <w:rPr>
          <w:rFonts w:ascii="Calibri" w:hAnsi="Calibri"/>
          <w:b/>
          <w:color w:val="4A6B25"/>
          <w:sz w:val="20"/>
        </w:rPr>
        <w:t xml:space="preserve">3. </w:t>
      </w:r>
      <w:r>
        <w:rPr>
          <w:rFonts w:ascii="Calibri" w:hAnsi="Calibri"/>
          <w:b w:val="0"/>
          <w:color w:val="3A4A28"/>
          <w:sz w:val="20"/>
        </w:rPr>
        <w:t>CEO Fernandez's leadership review (replacing ~25% of 200 senior positions) and clear 7-priority execution framework could accelerate organizational performance if top talent is retained and recruited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5-year revenue CAGR of only 3% and 5-year dividend growth CAGR of 1.43% (below inflation) reflect chronic growth underperformance that may not justify even the current depressed valuation relative to consumer staples peers [5]</w:t>
      </w:r>
    </w:p>
    <w:p>
      <w:pPr>
        <w:spacing w:before="40" w:after="40"/>
        <w:ind w:left="283"/>
      </w:pPr>
      <w:r>
        <w:rPr>
          <w:rFonts w:ascii="Calibri" w:hAnsi="Calibri"/>
          <w:b/>
          <w:color w:val="4A6B25"/>
          <w:sz w:val="20"/>
        </w:rPr>
        <w:t xml:space="preserve">2. </w:t>
      </w:r>
      <w:r>
        <w:rPr>
          <w:rFonts w:ascii="Calibri" w:hAnsi="Calibri"/>
          <w:b w:val="0"/>
          <w:color w:val="3A4A28"/>
          <w:sz w:val="20"/>
        </w:rPr>
        <w:t>Fourth CEO in five years (Polman → Jope → Schumacher → Fernandez) creates leadership instability, and the 200-position review with ~25% replacement risks destabilizing organizational execution during a critical strategic transition [2]</w:t>
      </w:r>
    </w:p>
    <w:p>
      <w:pPr>
        <w:spacing w:before="40" w:after="40"/>
        <w:ind w:left="283"/>
      </w:pPr>
      <w:r>
        <w:rPr>
          <w:rFonts w:ascii="Calibri" w:hAnsi="Calibri"/>
          <w:b/>
          <w:color w:val="4A6B25"/>
          <w:sz w:val="20"/>
        </w:rPr>
        <w:t xml:space="preserve">3. </w:t>
      </w:r>
      <w:r>
        <w:rPr>
          <w:rFonts w:ascii="Calibri" w:hAnsi="Calibri"/>
          <w:b w:val="0"/>
          <w:color w:val="3A4A28"/>
          <w:sz w:val="20"/>
        </w:rPr>
        <w:t>ESG target rollbacks (plastic reduction, living wages, diversity hiring) under Schumacher/Fernandez erode the purpose-driven brand positioning that supported Unilever's premium valuation, risking institutional investor defection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Unilever's core business — manufacturing and distributing physical consumer products (personal care, home care, food, beauty) — is structurally immune to AI substitution [1]. Tangible consumer goods are required regardless of AI advancement, and the manufacturing, distribution, and retail infrastructure cannot be replicated by software. Brand loyalty built over decades (Dove, Knorr, Hellmann's) provides additional moat. However, AI could disrupt consumer discovery channels, enable private label competition through personalized marketing, and shift brand loyalty dynamics — particularly in e-commerce where AI recommendation algorithms control product visibility. The Ice Cream separation demonstrated the company is not immune to broader structural market shifts. AI Opportunity (0/1): Unilever deploys 500+ AI systems internally for supply chain optimization (digital twin), AI-powered content creation, and logistics management [3], but does not generate separately quantifiable revenue from AI products or services. AI enhances existing product sales and operational efficiency rather than representing a new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Unilever H1 2026 and Q2 2026 Results — USG 4.8% (H1), 5.8% (Q2), Volume 5.5% (Q2, Best in a Decade), Underlying Operating Margin 20.3%, FCF €1.5B, 2026 Outlook 4-6% USG — Unilever.com, July 2026</w:t>
      </w:r>
    </w:p>
    <w:p>
      <w:pPr>
        <w:spacing w:before="20" w:after="20"/>
        <w:ind w:left="170"/>
      </w:pPr>
      <w:r>
        <w:rPr>
          <w:rFonts w:ascii="Calibri" w:hAnsi="Calibri"/>
          <w:b/>
          <w:color w:val="4A6B25"/>
          <w:sz w:val="15"/>
        </w:rPr>
        <w:t xml:space="preserve">2. </w:t>
      </w:r>
      <w:r>
        <w:rPr>
          <w:rFonts w:ascii="Calibri" w:hAnsi="Calibri"/>
          <w:b w:val="0"/>
          <w:color w:val="3A4A28"/>
          <w:sz w:val="17"/>
        </w:rPr>
        <w:t>CEO Fernando Fernandez Strategy — 'Desire at Scale,' 7 Priorities, 200 Leadership Position Review (~25% Replacement), Premiumization Focus — Unilever.com, CosmeticsBusiness, 2025-2026</w:t>
      </w:r>
    </w:p>
    <w:p>
      <w:pPr>
        <w:spacing w:before="20" w:after="20"/>
        <w:ind w:left="170"/>
      </w:pPr>
      <w:r>
        <w:rPr>
          <w:rFonts w:ascii="Calibri" w:hAnsi="Calibri"/>
          <w:b/>
          <w:color w:val="4A6B25"/>
          <w:sz w:val="15"/>
        </w:rPr>
        <w:t xml:space="preserve">3. </w:t>
      </w:r>
      <w:r>
        <w:rPr>
          <w:rFonts w:ascii="Calibri" w:hAnsi="Calibri"/>
          <w:b w:val="0"/>
          <w:color w:val="3A4A28"/>
          <w:sz w:val="17"/>
        </w:rPr>
        <w:t>Unilever AI Strategy — AI-Powered Supply Chain Digital Twin, AI Content Creation, 500+ AI Systems Deployed — Unilever.com, BankInfoSecurity, Klover.ai, 2025-2026</w:t>
      </w:r>
    </w:p>
    <w:p>
      <w:pPr>
        <w:spacing w:before="20" w:after="20"/>
        <w:ind w:left="170"/>
      </w:pPr>
      <w:r>
        <w:rPr>
          <w:rFonts w:ascii="Calibri" w:hAnsi="Calibri"/>
          <w:b/>
          <w:color w:val="4A6B25"/>
          <w:sz w:val="15"/>
        </w:rPr>
        <w:t xml:space="preserve">4. </w:t>
      </w:r>
      <w:r>
        <w:rPr>
          <w:rFonts w:ascii="Calibri" w:hAnsi="Calibri"/>
          <w:b w:val="0"/>
          <w:color w:val="3A4A28"/>
          <w:sz w:val="17"/>
        </w:rPr>
        <w:t>Unilever ESG Rollbacks — Plastic Pledge Reduction, Living Wage Commitment Dropped, Diversity Target Cuts — Bloomberg, HR Grapevine, Sustainability Magazine, 2024-2025</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UL Key Statistics: Forward P/E 17.52x, ROE 30.96%, D/E 161%, Profit Margin 18.75%, Dividend Yield 3.84%, Stock Price $64.77,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