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UNP</w:t>
      </w:r>
      <w:r>
        <w:rPr>
          <w:rFonts w:ascii="Calibri" w:hAnsi="Calibri"/>
          <w:b/>
          <w:color w:val="1A2010"/>
          <w:sz w:val="40"/>
        </w:rPr>
        <w:t xml:space="preserve">  Union Pacific Corporation</w:t>
      </w:r>
    </w:p>
    <w:p>
      <w:pPr>
        <w:spacing w:after="120"/>
      </w:pPr>
      <w:r>
        <w:rPr>
          <w:rFonts w:ascii="Calibri" w:hAnsi="Calibri"/>
          <w:b/>
          <w:color w:val="6E8450"/>
          <w:sz w:val="18"/>
        </w:rPr>
        <w:t>DIVIDEND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Railroads · NYSE · United States</w:t>
      </w:r>
    </w:p>
    <w:p>
      <w:pPr>
        <w:spacing w:after="80"/>
      </w:pPr>
      <w:r>
        <w:rPr>
          <w:rFonts w:ascii="Calibri" w:hAnsi="Calibri"/>
          <w:b w:val="0"/>
          <w:color w:val="3A4A28"/>
          <w:sz w:val="20"/>
        </w:rPr>
        <w:t>Union Pacific operates one of two major Class I railroads in the western United States, running approximately 32,000 route miles across 23 states. Q2 2026 operating revenue reached a record $6.9B (+12% YoY) with freight revenue up 12% to $6.5B, driven by intermodal volume surging 26%. Net income was $2.0B with diluted EPS of $3.36 (+7% YoY), and adjusted EPS of $3.41 (+13%). The company raised full-year 2026 EPS growth outlook to high single digits. Union Pacific has paid dividends for over 50 consecutive years and grown them for 16 consecutive years. Market cap is approximately $174B.</w:t>
      </w:r>
    </w:p>
    <w:p>
      <w:r>
        <w:rPr>
          <w:rFonts w:ascii="Calibri" w:hAnsi="Calibri"/>
          <w:b/>
          <w:color w:val="6E8450"/>
          <w:sz w:val="18"/>
        </w:rPr>
        <w:t>29,000 Employees · https://www.up.com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Union Pacific has executed meaningful operational improvements through Precision Scheduled Railroading (PSR) implementation, driving industry-leading operating ratios. Intermodal revenue surged 26% in Q2 2026, reflecting successful positioning for containerized freight growth [1]. However, the railroad business model has not fundamentally transformed in the last 5 years — these are operational efficiency gains rather than product launches or market-creating innovations. AI Deployment (1/2): Union Pacific has deployed AI for train builder simulation (modeling forces a train will experience before assembly), predictive asset maintenance, and operational decision-making across the enterprise [3]. CIO-led technology transformation recorded one of the highest employee engagement scores, suggesting successful AI integration. However, specific dollar amounts for AI-driven savings or revenue have not been quantified publicly. Market Share (2/2): Union Pacific is one of only two Class I railroads in the western United States (alongside BNSF), creating a duopoly with massive barriers to entry — building a competing rail network is physically and economically impossible [1]. The railroad holds dominant market share in western U.S. freight transportation with particular strength in intermodal, agricultural, and industrial goods. Product Pipeline (1/2): Hybrid-battery electric locomotives are in pilot testing with completion expected in 2026, representing a specific next-generation technology with environmental and cost benefits [3]. However, broader next-gen product visibility is limited given the nature of railroad operations. R&amp;D Intensity (0/1): Railroads operate with lower R&amp;D-to-revenue ratios than technology or healthcare companies, and Union Pacific's technology investment, while growing, is below the broader industrial average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Union Pacific's 'Building America' purpose is specific, thoughtful, and connects the company's 162-year history to a larger national purpose — moving the goods that build, feed, and power the nation [3]. This is not a generic mission; it reflects genuine intentionality about the railroad's role in American infrastructure and differentiates from peers. Strategic decisions around sustainability (Science-Based emissions targets, hybrid-electric locomotive investment) and community connectivity align with this purpose. However, the PSR-era focus on cost optimization and operating ratios introduced tension with the 'Building America' narrative. Community Impact (1/2): Union Pacific has longstanding community programs including the Union Pacific Foundation, safety campaigns at railroad crossings, and community investment in the 23 states it serves. The company articulates a 'We Are One' social responsibility framework [3]. However, specific dollar amounts and measurable impact data were not identified. Employee Retention (1/2): The technology organization recorded one of its highest engagement scores recently, and the company employs 29,000 workers with significant operational continuity [3]. However, railroad labor relations have been contentious (2022 near-strike), and no specific voluntary turnover data was identified. Insider Buying (0/2): No evidence of meaningful net insider buying by executives was identified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Union Pacific demonstrates exceptional profitability with ROE of 40.38% and net profit margin of 28.85%, both well above targets and reflecting the capital-efficient duopoly structure of western U.S. rail [2]. Forward P/E of 20.45 nearly meets the 20x target (score 0.989). Dividend metrics are strong: 50+ consecutive years paid (2x weight, full marks), 16 consecutive years of growth, 5-year dividend growth CAGR of 6.9% exceeding the 6% target (2x weight, full marks), and payout ratio of 46% near the 40% target (score 0.90) [4]. The primary drags are D/E of 178% (score 0.530 against the 70% target, reflecting the capital-intensive infrastructure business and aggressive share buyback programs), revenue growth YoY of approximately 7.5% (below the 10% target, scoring 0.917), and 5-year revenue CAGR of approximately 3.1% (score 0.54). The stock easily clears the liquidity floor with approximately $640M in daily traded value ($289.70 x 2.21M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Union Pacific is a 162-year-old company that has endured through every major American economic era — from the Transcontinental Railroad to the digital age — demonstrating extraordinary organizational longevity. The 'Building America' purpose has genuine historical depth and connects the company's daily operations to national infrastructure. However, the PSR era (Precision Scheduled Railroading) introduced a tension between long-term mission and short-term efficiency optimization that Sinek would view critically. Labor relations remain a vulnerability, and the high D/E ratio from aggressive share buybacks reflects financial engineering priorities that can conflict with infinite-game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Union Pacific's 'Building America' purpose is genuine, distinctive, and has shaped the company's identity across 162 years of continuous operation [3]. The railroad's role in connecting American communities, moving essential goods, and enabling commerce represents a cause bigger than quarterly earnings. Strategic investments in sustainability (Science-Based emissions targets, hybrid-electric locomotives) connect current decisions to this long-term purpose. However, the PSR era's intense focus on operating ratio optimization — cutting crews, lengthening trains, consolidating yards — introduced short-term financial thinking that created service disruptions and customer complaints, partially undermining the 'Building America' narrative.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Union Pacific employs 29,000 workers with significant operational continuity, and the technology organization recorded one of its highest engagement scores recently [3]. The company has invested in safety culture and employee development programs. However, railroad labor relations in the United States are historically contentious — the 2022 near-strike that required Congressional intervention highlighted deep worker dissatisfaction with scheduling policies, quality-of-life concerns, and management-labor trust deficits. The operational workforce (engineers, conductors, maintenance crews) may not experience the same trust environment as the technology organization cited in engagement surveys.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Union Pacific operates in a western U.S. rail duopoly with BNSF (Berkshire Hathaway) and competes with the trucking industry for freight share. The company uses competitive pressure from both BNSF and trucking alternatives to improve service metrics, intermodal capabilities, and pricing [1]. The intermodal segment's 26% revenue growth demonstrates Union Pacific's response to competitive dynamics by improving the value proposition versus trucking (environmental benefits, cost per ton-mile). This is competition as self-improvement, not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Union Pacific has adapted across multiple transportation eras — from steam to diesel, from passenger to freight, from single-commodity to diversified intermodal — each representing meaningful business model evolution [3]. The current investment in hybrid-battery electric locomotives demonstrates willingness to embrace next-generation technology. However, the core business model (moving freight on fixed rail infrastructure) has not required the kind of transformative reinvention that Sinek celebrates — the company's longevity reflects the durability of its moat rather than strategic pivots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Union Pacific's commitment to Science-Based emissions reduction targets (50.4% reduction by 2030 from 2018 base) and investment in hybrid-battery electric locomotives represent long-term bets on sustainable transportation that may not pay off immediately [3]. The decision to raise the dividend for 16 consecutive years through economic downturns and freight recessions demonstrates discipline. However, the aggressive share buyback program (funded partly by leverage, contributing to 178% D/E) is financial engineering that optimizes near-term EPS at the expense of balance sheet flexibility — a finite-game tactic that Sinek would view critically.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Union Pacific at 20.45x forward earnings is a high-quality infrastructure compounder delivering accelerating growth from a defensible duopoly position. Q2 2026 record revenue of $6.9B (+12% YoY) with intermodal surging 26% demonstrates that secular trends (nearshoring, data center construction, e-commerce) are driving volume growth through the railroad's irreplaceable western U.S. network [1]. Net margin of 28.85% and ROE of 40.38% reflect the capital efficiency of a natural duopoly with massive barriers to entry. The dividend profile is strong: 2.07% yield, 16 consecutive years of growth, 6.9% 5-year CAGR, and a sustainable 46% payout ratio fund continued mid-single-digit dividend growth [4]. Management raised full-year 2026 EPS guidance to high single digits, with a 3-year CAGR target of high-single to low-double digits through 2027. The AI infrastructure buildout is a multi-year tailwind as data center construction drives demand for bulk materials shipped by rail.</w:t>
      </w:r>
    </w:p>
    <w:p>
      <w:pPr>
        <w:spacing w:after="120"/>
      </w:pPr>
      <w:r>
        <w:rPr>
          <w:rFonts w:ascii="Calibri" w:hAnsi="Calibri"/>
          <w:b w:val="0"/>
          <w:color w:val="3A4A28"/>
          <w:sz w:val="20"/>
        </w:rPr>
        <w:t>The bear case centers on valuation, leverage, and cyclical exposure. Forward P/E of 20.45x sits at the upper end of historical ranges for rail stocks, pricing in sustained volume growth that is vulnerable to macroeconomic slowdown — freight volumes are inherently cyclical and could decline in a recession [1]. D/E of 178% reflects aggressive financial engineering through share buybacks funded by leverage, leaving limited balance sheet flexibility if volumes contract. The 5-year revenue CAGR of only 3.1% reveals that the recent 12% growth is an acceleration from a period of flat-to-modest top-line performance, and analysts forecast only 4.9% annual revenue growth going forward. Railroad labor relations remain a structural risk — the 2022 near-strike required Congressional intervention, and future labor actions could disrupt operations and erode the operating ratio improvements that underpin margin expansion. The Inspire Impact Score of -49 (MISALIGNED) may limit allocation for faith-based investors despite Union Pacific's strong sustainability programs and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buildout driving sustained intermodal and industrial freight volume growth as data center construction requires bulk materials (steel, concrete, copper, cooling equipment) shipped most efficiently by rail — intermodal revenue already surging 26% in Q2 2026 [1]</w:t>
      </w:r>
    </w:p>
    <w:p>
      <w:pPr>
        <w:spacing w:before="40" w:after="40"/>
        <w:ind w:left="283"/>
      </w:pPr>
      <w:r>
        <w:rPr>
          <w:rFonts w:ascii="Calibri" w:hAnsi="Calibri"/>
          <w:b/>
          <w:color w:val="4A6B25"/>
          <w:sz w:val="20"/>
        </w:rPr>
        <w:t xml:space="preserve">2. </w:t>
      </w:r>
      <w:r>
        <w:rPr>
          <w:rFonts w:ascii="Calibri" w:hAnsi="Calibri"/>
          <w:b w:val="0"/>
          <w:color w:val="3A4A28"/>
          <w:sz w:val="20"/>
        </w:rPr>
        <w:t>Hybrid-battery electric locomotive pilot completion in 2026 could reduce fuel costs (the largest variable expense for railroads), improve emissions profile, and position Union Pacific for tightening environmental regulations [3]</w:t>
      </w:r>
    </w:p>
    <w:p>
      <w:pPr>
        <w:spacing w:before="40" w:after="40"/>
        <w:ind w:left="283"/>
      </w:pPr>
      <w:r>
        <w:rPr>
          <w:rFonts w:ascii="Calibri" w:hAnsi="Calibri"/>
          <w:b/>
          <w:color w:val="4A6B25"/>
          <w:sz w:val="20"/>
        </w:rPr>
        <w:t xml:space="preserve">3. </w:t>
      </w:r>
      <w:r>
        <w:rPr>
          <w:rFonts w:ascii="Calibri" w:hAnsi="Calibri"/>
          <w:b w:val="0"/>
          <w:color w:val="3A4A28"/>
          <w:sz w:val="20"/>
        </w:rPr>
        <w:t>Nearshoring and domestic manufacturing expansion (semiconductors, EVs, clean energy) creating new freight demand patterns that favor Union Pacific's western U.S. network connecting ports, manufacturing hubs, and distribution centers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Macroeconomic cyclical risk: freight volumes are inherently tied to industrial production and consumer spending, and a recession could reverse the current 12% revenue growth trajectory, compressing earnings and straining the 178% D/E leverage ratio [1]</w:t>
      </w:r>
    </w:p>
    <w:p>
      <w:pPr>
        <w:spacing w:before="40" w:after="40"/>
        <w:ind w:left="283"/>
      </w:pPr>
      <w:r>
        <w:rPr>
          <w:rFonts w:ascii="Calibri" w:hAnsi="Calibri"/>
          <w:b/>
          <w:color w:val="4A6B25"/>
          <w:sz w:val="20"/>
        </w:rPr>
        <w:t xml:space="preserve">2. </w:t>
      </w:r>
      <w:r>
        <w:rPr>
          <w:rFonts w:ascii="Calibri" w:hAnsi="Calibri"/>
          <w:b w:val="0"/>
          <w:color w:val="3A4A28"/>
          <w:sz w:val="20"/>
        </w:rPr>
        <w:t>Railroad labor relations remain structurally contentious — the 2022 near-strike required Congressional intervention, and ongoing disputes over scheduling, crew sizes, and quality of life could disrupt operations or increase labor costs [3]</w:t>
      </w:r>
    </w:p>
    <w:p>
      <w:pPr>
        <w:spacing w:before="40" w:after="40"/>
        <w:ind w:left="283"/>
      </w:pPr>
      <w:r>
        <w:rPr>
          <w:rFonts w:ascii="Calibri" w:hAnsi="Calibri"/>
          <w:b/>
          <w:color w:val="4A6B25"/>
          <w:sz w:val="20"/>
        </w:rPr>
        <w:t xml:space="preserve">3. </w:t>
      </w:r>
      <w:r>
        <w:rPr>
          <w:rFonts w:ascii="Calibri" w:hAnsi="Calibri"/>
          <w:b w:val="0"/>
          <w:color w:val="3A4A28"/>
          <w:sz w:val="20"/>
        </w:rPr>
        <w:t>Valuation risk: Forward P/E of 20.45x prices in sustained high-single-digit EPS growth, but the 5-year revenue CAGR of 3.1% suggests the current growth acceleration may not be sustainable, creating downside risk if volume trends normalize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Union Pacific's core business — physically moving freight across 32,000 route miles of track using locomotives, rail cars, and terminal infrastructure — is structurally immune to AI disruption [1]. No software or AI system can replace the physical movement of intermodal containers, agricultural products, chemicals, and industrial goods across the western United States. The railroad's assets (track, bridges, tunnels, right-of-way easements) represent irreplaceable physical infrastructure that took 162 years to build and cannot be replicated. Furthermore, AI adoption is increasing demand for rail services: data center construction requires bulk materials (steel, concrete, copper, cooling equipment) that are most efficiently shipped by rail, and semiconductor manufacturing expansion drives industrial freight volumes. The only reason Union Pacific does not score a perfect 9 is that some administrative and scheduling functions could be automated by AI, modestly reducing the labor component of operations. AI Opportunity (1/1): Union Pacific actively deploys AI for train builder simulation, predictive asset maintenance, and operational optimization across the enterprise. While the company does not generate external AI revenue, AI-driven operational improvements contribute directly to the record $6.9B quarterly revenue and improving operating ratios, representing measurable internal value creation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Union Pacific Q2 2026 Earnings — Record revenue $6.9B (+12%), intermodal +26%, net income $2.0B, EPS $3.36 (+7%), adjusted EPS $3.41 (+13%), raised FY2026 outlook — UP.com,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Union Pacific Financial Data — Forward P/E 20.45, ROE 40.38%, net margin 28.85%, D/E 178%, stock price $289.70, average volume 2.21M — StockAnalysis, GuruFocus, Yahoo Finance,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Union Pacific Innovation &amp; Culture — AI train builder tool, hybrid-electric locomotive pilot, technology engagement scores, Building America purpose, Science-Based emissions targets — Forbes CIO Profile, CIO.com, UP.com Sustainability, 2024-2026</w:t>
      </w:r>
    </w:p>
    <w:p>
      <w:pPr>
        <w:spacing w:before="20" w:after="20"/>
        <w:ind w:left="170"/>
      </w:pPr>
      <w:r>
        <w:rPr>
          <w:rFonts w:ascii="Calibri" w:hAnsi="Calibri"/>
          <w:b/>
          <w:color w:val="4A6B25"/>
          <w:sz w:val="15"/>
        </w:rPr>
        <w:t xml:space="preserve">4. </w:t>
      </w:r>
      <w:r>
        <w:rPr>
          <w:rFonts w:ascii="Calibri" w:hAnsi="Calibri"/>
          <w:b w:val="0"/>
          <w:color w:val="3A4A28"/>
          <w:sz w:val="17"/>
        </w:rPr>
        <w:t>Union Pacific Dividend Data — Yield 2.07%, 16 consecutive years growth, 50+ consecutive years paid, 5yr CAGR 6.9%, payout ratio 46% — GuruFocus, StockEvents, Dividend.com,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