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UPB</w:t>
      </w:r>
      <w:r>
        <w:rPr>
          <w:rFonts w:ascii="Calibri" w:hAnsi="Calibri"/>
          <w:b/>
          <w:color w:val="1A2010"/>
          <w:sz w:val="40"/>
        </w:rPr>
        <w:t xml:space="preserve">  Upstream Bio, Inc.</w:t>
      </w:r>
    </w:p>
    <w:p>
      <w:pPr>
        <w:spacing w:after="120"/>
      </w:pPr>
      <w:r>
        <w:rPr>
          <w:rFonts w:ascii="Calibri" w:hAnsi="Calibri"/>
          <w:b/>
          <w:color w:val="6E8450"/>
          <w:sz w:val="18"/>
        </w:rPr>
        <w:t>GROWTH SLEEVE · 2026-09-24 · Inspire: 28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Upstream Bio, Inc. is a clinical-stage biotechnology company developing verekitug, a fully human monoclonal antibody targeting the thymic stromal lymphopoietin receptor (TSLPR), for the treatment of severe respiratory disorders. Lead candidate verekitug has completed positive Phase 2 trials in CRSwNP (VIBRANT) and severe asthma (VALIANT, 56% flare-up reduction), with the 481-patient Phase 2 VENTURE COPD trial fully enrolled and data expected H2 2027. Phase 3 trials in severe asthma and CRSwNP on track for Q1 2027, with End-of-Phase 2 FDA interactions ongoing. Q2 2026 net loss was $39.7M ($0.73/share), with $261.3M in cash and short-term investments providing runway through 2027. Founded 2021, headquartered in Waltham, Massachusetts. Market cap approximately $284M.</w:t>
      </w:r>
    </w:p>
    <w:p>
      <w:r>
        <w:rPr>
          <w:rFonts w:ascii="Calibri" w:hAnsi="Calibri"/>
          <w:b/>
          <w:color w:val="6E8450"/>
          <w:sz w:val="18"/>
        </w:rPr>
        <w:t>75 Employees · https://upstreambio.com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Upstream Bio was incorporated in 2021 and has progressed verekitug from preclinical through three concurrent Phase 2 trials — VIBRANT (positive in CRSwNP with 72% clinically meaningful improvement in nasal congestion and 83% improvement in total symptom score), VALIANT (positive in severe asthma with 56% flare-up reduction), and VENTURE (COPD, fully enrolled at 481 patients) — representing rapid clinical execution for a five-year-old company [1]. End-of-Phase 2 FDA meetings are ongoing in asthma and CRSwNP. AI Deployment (0/2): No evidence of AI-powered drug discovery, AI-driven clinical trial optimization, or AI operational efficiencies; the company uses a traditional biologics development approach with conventional clinical trial methodology. Market Share (1/2): Verekitug targets the anti-TSLPR pathway in a category with limited competition, primarily Amgen's tezepelumab (Tezspire), and significant unmet need across a combined $30B+ addressable market in severe asthma, CRSwNP, and COPD [1]. The quarterly dosing profile could differentiate verekitug from existing treatments if Phase 3 data confirms Phase 2 results. Product Pipeline (2/2): Three active indications with specific outcomes and timelines — VIBRANT and VALIANT positive Phase 2 data, VENTURE Phase 2 fully enrolled with data expected H2 2027, Phase 3 initiation in severe asthma and CRSwNP targeted Q1 2027 [1]. Pipeline visibility is strong for a clinical-stage biotech. R&amp;D Intensity (1/1): Virtually 100% of expenditure is R&amp;D — approximately $40M per quarter — well above any industry average, appropriate for a clinical-stage company with no commercial operations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Upstream Bio's mission focuses on developing transformative treatments for people living with severe inflammatory diseases — clear, identifies patients as stakeholders, and connects to genuine unmet medical need in severe respiratory disorders where millions suffer from inadequately treated conditions [2]. However, this mission is standard for clinical-stage biotech without distinctive language, multi-decade execution history, or crisis-tested validation. Community Impact (0/2): No evidence of charitable programs or community investment — expected for a 75-person clinical-stage company conserving $261.3M in cash for drug development rather than philanthropy. Employee Retention (1/2): CEO Rand Sutherland brings 25+ years of experience from Seeker Biologics and Translate Bio (acquired by Sanofi); SVP People &amp; Culture Lisa Fiering was specifically hired to build intentional organizational culture [2]. The creation of a dedicated culture leadership role at this early stage signals thoughtful organizational investment, though the company is too new to generate retention or turnover data. Insider Buying (0/2): No significant insider buying data identified; as a company that IPO'd in September 2024, insider transactions are primarily initial equity compensation rather than discretionary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 metrics, with most metrics unavailable or meaningless for a pre-revenue clinical-stage biotech. D/E of 0.35% reflects an essentially debt-free balance sheet with $261.3M in cash and short-term investments as of Q2 2026, providing runway through 2027 — scoring maximum on balance sheet health [1][3]. ROE is deeply negative (-46.1%) reflecting approximately $160M in annualized operating losses from clinical trial spending — expected for a clinical-stage biotech but scores 0 mechanically [3]. Revenue growth YoY of -17.5% reflects fluctuating immaterial grant/collaboration income ($3.2M TTM), not product revenue — this metric is meaningless for a pre-commercial biotech but scores near-zero mechanically. Profit margin of 0% (effectively deeply negative on immaterial revenue) scores 0. Forward P/E and PEG are negative (unprofitable) and excluded. The low infrastructure score reflects the mechanical penalty for pre-revenue biotechs rather than balance sheet weakness. Liquidity: 583K avg volume x $5.19 = $3.0M daily dollar volume, above the $1M floor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Upstream Bio is a young company (founded 2021) with a single drug candidate across three indications, making it inherently difficult to assess on Sinek's infinite game framework. The company demonstrates genuine mission orientation around treating severe respiratory disease, and the decision to pursue three concurrent Phase 2 trials shows courage and conviction [1]. The deliberate investment in organizational culture (dedicated SVP People &amp; Culture) at the 75-person stage signals long-term thinking. However, the company lacks the track record, leadership continuity through crisis, strategic flexibility, and competitive humility to score highly on infinite game dimensions.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Upstream Bio's cause — developing transformative treatments for severe inflammatory respiratory diseases affecting millions globally — is genuine and addresses significant patient suffering where current therapies are inadequate [2]. However, this purpose is indistinguishable from dozens of clinical-stage biotechs with similar disease-focused missions and has not been tested through crisis, market cycle, or leadership transition. The company is too young to have validated whether its cause shapes decision-making beyond the obvious commercial imperative of developing a drug.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leadership team under CEO Rand Sutherland includes experienced biotech veterans assembled with intention — CFO/COO Mike Gray and SVP People &amp; Culture Lisa Fiering (30 years in life sciences people and culture roles) [2]. The specific creation of a People &amp; Culture leadership role at a 75-person clinical-stage company signals that organizational health is a strategic priority, not an afterthought. However, the team is too new and small to meaningfully assess trust dynamics, retention, or cultural outcomes.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Management positions verekitug against Amgen's tezepelumab (Tezspire) with competitive framing focused on clinical superiority claims (quarterly dosing advantage, broader indication coverage) rather than learning from or acknowledging Amgen's established commercialization strengths, physician relationships, and billion-dollar revenue base in respiratory biologics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As a single-asset clinical-stage company with one drug candidate (verekitug) across three indications, Upstream Bio has demonstrated no strategic pivots and has limited flexibility to reinvent itself [1]. The company's fate is essentially binary — verekitug either succeeds in Phase 3 or the company has no clear alternative path. The $261.3M cash position provides time but not strategic optionality. The company is too young to have faced the test of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pursue three concurrent Phase 2 trials (VIBRANT, VALIANT, VENTURE) across severe asthma, CRSwNP, and COPD simultaneously is a bold capital allocation bet — most clinical-stage biotechs would sequence indications to conserve cash [1]. CEO Sutherland committed the majority of the company's $295M cash position (at IPO) to parallel development, accelerating the value inflection timeline but concentrating binary risk. The company has maintained its Phase 3 timeline and advanced the COPD trial to full enrollment despite a significant stock decline, demonstrating conviction over market sentiment.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Upstream Bio offers high-risk/high-reward exposure to the anti-TSLPR pathway in respiratory disease, with verekitug having delivered positive Phase 2 results in two of three indications — VIBRANT (CRSwNP, 72% nasal congestion improvement, 83% total symptom score improvement) and VALIANT (severe asthma, 56% flare-up reduction) [1]. The 481-patient VENTURE Phase 2 trial in COPD is fully enrolled with data expected H2 2027, and Phase 3 initiation in severe asthma and CRSwNP is on track for Q1 2027. Cash of $261.3M provides runway through 2027 without near-term dilution [1]. The stock has declined from its 52-week high to $5.19, potentially pricing in excessive pessimism relative to positive Phase 2 data across three large indications representing a combined $30B+ addressable market. Inspire score of +28 (ALIGNED) with zero negative attributions supports the faith-aligned thesis.</w:t>
      </w:r>
    </w:p>
    <w:p>
      <w:pPr>
        <w:spacing w:after="120"/>
      </w:pPr>
      <w:r>
        <w:rPr>
          <w:rFonts w:ascii="Calibri" w:hAnsi="Calibri"/>
          <w:b w:val="0"/>
          <w:color w:val="3A4A28"/>
          <w:sz w:val="20"/>
        </w:rPr>
        <w:t>The bear case is substantial and inherently binary. The VALIANT severe asthma data, while statistically significant at 56% flare-up reduction, triggered a 47% stock decline, suggesting the market expected stronger efficacy versus Amgen's tezepelumab (Tezspire) which generates $1B+ in annual sales with established physician adoption [1]. Upstream Bio burns approximately $40M per quarter ($160M annualized) with essentially zero product revenue ($3.2M TTM collaboration income), and the $284M market cap reflects the market's assessment that verekitug has a modest probability of commercial success [3]. Cash of $261.3M provides runway only through 2027, meaning Phase 3 results must be sufficiently compelling to attract a partner, secure non-dilutive financing, or enable a secondary offering at acceptable prices. The company is a single-asset biotech with no backup candidates — Phase 3 failure in the lead indications would likely be terminal for the current equity valuation. Trading volume has declined to approximately 583K shares daily, creating potential liquidity risk for institutional-sized positions.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VENTURE Phase 2 trial in COPD is fully enrolled at 481 patients with data expected H2 2027 — a positive readout would open the largest market opportunity among the three indications and provide a major clinical and commercial re-rating catalyst [1]</w:t>
      </w:r>
    </w:p>
    <w:p>
      <w:pPr>
        <w:spacing w:before="40" w:after="40"/>
        <w:ind w:left="283"/>
      </w:pPr>
      <w:r>
        <w:rPr>
          <w:rFonts w:ascii="Calibri" w:hAnsi="Calibri"/>
          <w:b/>
          <w:color w:val="4A6B25"/>
          <w:sz w:val="20"/>
        </w:rPr>
        <w:t xml:space="preserve">2. </w:t>
      </w:r>
      <w:r>
        <w:rPr>
          <w:rFonts w:ascii="Calibri" w:hAnsi="Calibri"/>
          <w:b w:val="0"/>
          <w:color w:val="3A4A28"/>
          <w:sz w:val="20"/>
        </w:rPr>
        <w:t>End-of-Phase 2 FDA meetings ongoing in severe asthma and CRSwNP, with Phase 3 initiation targeted Q1 2027 — FDA alignment on Phase 3 design and endpoints would significantly de-risk the clinical pathway [1]</w:t>
      </w:r>
    </w:p>
    <w:p>
      <w:pPr>
        <w:spacing w:before="40" w:after="40"/>
        <w:ind w:left="283"/>
      </w:pPr>
      <w:r>
        <w:rPr>
          <w:rFonts w:ascii="Calibri" w:hAnsi="Calibri"/>
          <w:b/>
          <w:color w:val="4A6B25"/>
          <w:sz w:val="20"/>
        </w:rPr>
        <w:t xml:space="preserve">3. </w:t>
      </w:r>
      <w:r>
        <w:rPr>
          <w:rFonts w:ascii="Calibri" w:hAnsi="Calibri"/>
          <w:b w:val="0"/>
          <w:color w:val="3A4A28"/>
          <w:sz w:val="20"/>
        </w:rPr>
        <w:t>Potential partnership or licensing deal for ex-US rights could provide non-dilutive capital, validate the verekitug platform, and reduce the binary risk concentration for equity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trial risk: verekitug Phase 2 asthma data disappointed the market despite positive results, and Phase 3 failure in either severe asthma or CRSwNP would likely be terminal for the current equity valuation — the company has no backup candidates or alternative development programs [1]</w:t>
      </w:r>
    </w:p>
    <w:p>
      <w:pPr>
        <w:spacing w:before="40" w:after="40"/>
        <w:ind w:left="283"/>
      </w:pPr>
      <w:r>
        <w:rPr>
          <w:rFonts w:ascii="Calibri" w:hAnsi="Calibri"/>
          <w:b/>
          <w:color w:val="4A6B25"/>
          <w:sz w:val="20"/>
        </w:rPr>
        <w:t xml:space="preserve">2. </w:t>
      </w:r>
      <w:r>
        <w:rPr>
          <w:rFonts w:ascii="Calibri" w:hAnsi="Calibri"/>
          <w:b w:val="0"/>
          <w:color w:val="3A4A28"/>
          <w:sz w:val="20"/>
        </w:rPr>
        <w:t>Cash runway of $261.3M through 2027 requires disciplined spending — any Phase 3 delays, protocol amendments, or trial expansion could necessitate dilutive financing at currently depressed share prices ($5.19, down from $33.68 52-week high) [1]</w:t>
      </w:r>
    </w:p>
    <w:p>
      <w:pPr>
        <w:spacing w:before="40" w:after="40"/>
        <w:ind w:left="283"/>
      </w:pPr>
      <w:r>
        <w:rPr>
          <w:rFonts w:ascii="Calibri" w:hAnsi="Calibri"/>
          <w:b/>
          <w:color w:val="4A6B25"/>
          <w:sz w:val="20"/>
        </w:rPr>
        <w:t xml:space="preserve">3. </w:t>
      </w:r>
      <w:r>
        <w:rPr>
          <w:rFonts w:ascii="Calibri" w:hAnsi="Calibri"/>
          <w:b w:val="0"/>
          <w:color w:val="3A4A28"/>
          <w:sz w:val="20"/>
        </w:rPr>
        <w:t>Competitive risk from Amgen's tezepelumab (Tezspire) which has established physician familiarity, commercial infrastructure, and $1B+ annual revenue, creating a formidable incumbent that verekitug must demonstrate meaningful differentiation to displace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Upstream Bio's core business — developing a monoclonal antibody through FDA-regulated clinical trials requiring wet-lab biology, patient enrollment, physical drug manufacturing, and regulatory submissions — is substantially protected from AI disruption [1]. AI cannot replace the physical clinical trial process, patient dosing, or the FDA approval pathway that governs biologics development. The TSLPR biology requires extensive human clinical validation that no AI system can shortcut. However, AI-driven drug discovery platforms (e.g., Recursion, Insilico Medicine) could accelerate development of competing TSLPR-targeting or alternative respiratory disease molecules, creating indirect competitive pressure on verekitug's differentiation window. The quarterly dosing advantage could be eroded if AI-designed competitors achieve superior pharmacokinetics. AI Opportunity (0/1): Upstream Bio generates no revenue from AI products or services and does not publicly deploy AI in its R&amp;D pipeline. Future potential adoption of AI-assisted clinical trial design or patient matching tools represents operational efficiency, not revenue generation.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Upstream Bio Q1 and Q2 2026 Financial Results — Q1 Net Loss $40.6M ($0.75/share), Q2 Net Loss $39.7M ($0.73/share), Cash $261.3M, VENTURE COPD Enrollment Complete, Phase 3 Q1 2027 — investors.upstreambio.com, BioSpace, StockTitan, May-August 2026</w:t>
      </w:r>
    </w:p>
    <w:p>
      <w:pPr>
        <w:spacing w:before="20" w:after="20"/>
        <w:ind w:left="170"/>
      </w:pPr>
      <w:r>
        <w:rPr>
          <w:rFonts w:ascii="Calibri" w:hAnsi="Calibri"/>
          <w:b/>
          <w:color w:val="4A6B25"/>
          <w:sz w:val="15"/>
        </w:rPr>
        <w:t xml:space="preserve">2. </w:t>
      </w:r>
      <w:r>
        <w:rPr>
          <w:rFonts w:ascii="Calibri" w:hAnsi="Calibri"/>
          <w:b w:val="0"/>
          <w:color w:val="3A4A28"/>
          <w:sz w:val="17"/>
        </w:rPr>
        <w:t>Upstream Bio Corporate Website, Leadership Team, and Mission — CEO Rand Sutherland, CFO/COO Mike Gray, SVP People &amp; Culture Lisa Fiering — upstreambio.com, BusinessWire,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UPB Key Statistics: Stock Price $5.19, Market Cap $284M, D/E 0.35%, ROE -46.1%, Avg Volume 583K,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