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UP</w:t>
      </w:r>
      <w:r>
        <w:rPr>
          <w:rFonts w:ascii="Calibri" w:hAnsi="Calibri"/>
          <w:b/>
          <w:color w:val="1A2010"/>
          <w:sz w:val="40"/>
        </w:rPr>
        <w:t xml:space="preserve">  Wheels Up Experience, Inc.</w:t>
      </w:r>
    </w:p>
    <w:p>
      <w:pPr>
        <w:spacing w:after="120"/>
      </w:pPr>
      <w:r>
        <w:rPr>
          <w:rFonts w:ascii="Calibri" w:hAnsi="Calibri"/>
          <w:b/>
          <w:color w:val="6E8450"/>
          <w:sz w:val="18"/>
        </w:rPr>
        <w:t>GROWTH SLEEVE · 2026-08-29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Airlines / Private Aviation · NYSE · United States</w:t>
      </w:r>
    </w:p>
    <w:p>
      <w:pPr>
        <w:spacing w:after="80"/>
      </w:pPr>
      <w:r>
        <w:rPr>
          <w:rFonts w:ascii="Calibri" w:hAnsi="Calibri"/>
          <w:b w:val="0"/>
          <w:color w:val="3A4A28"/>
          <w:sz w:val="20"/>
        </w:rPr>
        <w:t>Wheels Up Experience, Inc. is a provider of on-demand private aviation, offering membership programs, charter solutions, and aircraft management services. The company generates revenue primarily from member and customer flights, membership fees, group charter flights, cargo flights, and special missions. Backed by Delta Air Lines and partnering with Palantir for AI-powered operations and Surf Air Mobility for aviation software, Wheels Up operates under CEO George Mattson's vision of building 'the most customer-centric, AI-forward and operationally excellent company in private aviation.'</w:t>
      </w:r>
    </w:p>
    <w:p>
      <w:r>
        <w:rPr>
          <w:rFonts w:ascii="Calibri" w:hAnsi="Calibri"/>
          <w:b/>
          <w:color w:val="6E8450"/>
          <w:sz w:val="18"/>
        </w:rPr>
        <w:t>1,250 Employees · https://www.wheelsup.com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Wheels Up has undergone a significant transformation from a standalone membership-based private jet company to a Delta Air Lines-backed platform integrating technology partnerships with Palantir and Surf Air Mobility [3][4]. However, the transformation was driven by near-bankruptcy and survival necessity rather than visionary product launches, and the company continues to report widening losses. AI Deployment (1/2): CEO Mattson describes Wheels Up as 'the most customer-centric, AI-forward' company in private aviation, with a Palantir partnership for AI-powered scheduling, pricing, and operations [4]. However, no specific AI-driven revenue or quantified cost savings have been reported — the AI strategy remains aspirational rather than delivering measurable results. Market Share (0/2): Private aviation is fragmented, with NetJets, Vista Global, and Flexjet holding stronger market positions. Wheels Up has lost market share during its restructuring and revenue has declined 4-5% YoY [1][2]. Product Pipeline (0/2): Fleet renewal and operational reliability improvements are underway but represent operational stabilization, not next-generation product launches. No specific new products or services with revenue visibility have been announced. R&amp;D Intensity (0/1): Technology partnerships with Palantir and Surf Air Mobility substitute for internal R&amp;D, but the company is not a meaningful R&amp;D spender.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CEO Mattson's stated aspiration — 'the most customer-centric, AI-forward and operationally excellent company in private aviation' — describes how Wheels Up wants to compete, not why it exists [4]. This is a competitive positioning statement, not a purpose that transcends profit. The mission is interchangeable with any premium service company. Community Impact (0/2): No evidence of charitable giving, community programs, or foundation activity. The company is in survival mode focused on reaching profitability. Employee Retention (0/2): 1,250 employees as of December 2025, likely down from higher levels during pre-restructuring periods [6]. Recent restructuring, cost-cutting, and a data breach in October 2025 suggest a challenging work environment [5]. No positive retention indicators found. Insider Buying (1/2): CEO George Mattson purchased approximately 27,791 shares ($146K+) across multiple transactions in May 2026 at $5.05-$5.60/share, demonstrating personal conviction despite the company's financial difficulties [4]. This is genuine open-market buying by the CEO, though the dollar amount is modest relative to the company's challenges.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Average daily volume of approximately 131,609 shares at $5.09/share yields daily dollar volume of approximately $670K, below the $1,000,000 minimum threshold [6]. Infrastructure is scored at 0 regardless of other metrics. For reference, underlying fundamentals are extremely weak: shareholders' equity is a deficit of -$560.3M with total debt principal of $919.1M, making D/E undefined (negative equity) [6]. Revenue is declining at -4% YoY (Q2 2026: $182M) [1]. Net loss widened to $107.2M in Q2 2026, or -$2.97/share [1]. Profit margin is -42.04% on a TTM basis [6]. The company holds $86.3M in cash against $919.1M in debt, and total assets of $926.6M do not cover total liabilities [1]. No PE ratio, forward PE, or PEG is meaningful given deep unprofitability. Note: Wheels Up executed a reverse stock split in 2026, which reduced share count and increased per-share price but correspondingly reduced average daily volume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Wheels Up is playing a survival game, not an infinite game. The company is restructuring from near-bankruptcy with Delta Air Lines backing, managing a $560M shareholders' deficit, declining revenue, and widening losses. There is no Just Cause articulated beyond competitive positioning, no evidence of organizational trust in a cost-cutting environment, and strategic decisions are driven by financial necessity rather than long-term vision [1][3].</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Wheels Up exists to sell private jet flights and memberships. CEO Mattson's aspiration to be 'the most customer-centric, AI-forward and operationally excellent company in private aviation' is a finite competitive objective — it defines how to win, not why the company exists [4]. There is no vision of a future state that transcends the company's commercial interest. The company does not articulate a purpose that would inspire sacrifice or endure beyond any single product or leader.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undergone significant restructuring, with headcount declining to 1,250 employees from higher levels [6]. A data breach in October 2025 where an unauthorized actor gained access to IT systems further undermined organizational confidence [5]. Securities fraud allegations involving financial statement errors and goodwill overstatement created additional trust challenges. In a cost-cutting, restructuring environment, employees are more likely protecting themselves than advancing a shared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company's competitive framing is about being 'the most' customer-centric and operationally excellent — language of winning, not improving. No public acknowledgment of NetJets', Vista's, or Flexjet's strengths as motivation for self-improvement. The lawsuit against FlyExclusive ($33.6-$37.5M) suggests a more combative than learning-oriented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Delta Air Lines-backed restructuring represents a fundamental transformation of Wheels Up's business model — from an independent membership company to a platform integrated with a major airline's distribution and financing capabilities [3]. The addition of Palantir for AI operations and Surf Air Mobility for aviation software shows willingness to evolve the technology stack. However, this pivot was driven by existential financial pressure (near-bankruptcy), not by a cause-driven strategic vision.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Mattson's personal stock purchases ($146K in May 2026) show individual conviction, but the company's strategic decisions are driven by survival necessity rather than courageous long-term bets [4]. The Delta restructuring was not a choice — it was the alternative to bankruptcy. Cost-cutting and operational improvements are defensive moves, not investments that sacrifice short-term earnings for long-term capability. No examples of walking away from profitable but misaligned business or making costly principled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Wheels Up is a turnaround story with a long road to profitability. Q2 2026 showed some operational improvement: gross profit increased 336% to $9.6M, and adjusted EBITDA loss narrowed YoY to -$26.2M [1]. The Delta Air Lines backing provides strategic support and financing, while the Palantir partnership targets operational efficiency through AI-powered scheduling and fleet optimization [3][4]. CEO Mattson's personal share purchases ($146K in May 2026) signal management conviction in the turnaround [4]. On-time performance, operational reliability, and fleet renewal are tracking ahead of schedule. The Inspire Impact Score of 58 (ALIGNED) may appeal to faith-aligned investors seeking aviation exposure.</w:t>
      </w:r>
    </w:p>
    <w:p>
      <w:pPr>
        <w:spacing w:after="120"/>
      </w:pPr>
      <w:r>
        <w:rPr>
          <w:rFonts w:ascii="Calibri" w:hAnsi="Calibri"/>
          <w:b w:val="0"/>
          <w:color w:val="3A4A28"/>
          <w:sz w:val="20"/>
        </w:rPr>
        <w:t>The bear case is overwhelming. Wheels Up has a negative shareholders' equity of -$560.3M, total debt of $919.1M, and just $86.3M in cash — the balance sheet is technically insolvent [1][6]. Q2 2026 net loss widened to $107.2M ($2.97/share), meaning the company burned through more than its entire cash balance in a single quarter. Revenue declined 4% YoY to $182M as the transition to a Delta-backed model disrupts customer relationships. The reverse stock split in 2026 is typically a sign of financial distress. Average daily dollar volume of approximately $670K fails IOWN's $1M liquidity floor, making the stock too illiquid for portfolio construction. Securities fraud allegations regarding financial statement errors and the October 2025 data breach further erode investor confidence [5]. Without sustained revenue growth and dramatic margin improvement, dilution or further restructuring appears inevitable.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Delta Air Lines-backed financing and operational integration, providing capital, distribution, and brand support that could stabilize the business and attract new members [3]</w:t>
      </w:r>
    </w:p>
    <w:p>
      <w:pPr>
        <w:spacing w:before="40" w:after="40"/>
        <w:ind w:left="283"/>
      </w:pPr>
      <w:r>
        <w:rPr>
          <w:rFonts w:ascii="Calibri" w:hAnsi="Calibri"/>
          <w:b/>
          <w:color w:val="4A6B25"/>
          <w:sz w:val="20"/>
        </w:rPr>
        <w:t xml:space="preserve">2. </w:t>
      </w:r>
      <w:r>
        <w:rPr>
          <w:rFonts w:ascii="Calibri" w:hAnsi="Calibri"/>
          <w:b w:val="0"/>
          <w:color w:val="3A4A28"/>
          <w:sz w:val="20"/>
        </w:rPr>
        <w:t>Palantir AI partnership delivering measurable operational efficiency gains in scheduling, pricing, and fleet utilization that could bend the loss curve toward breakeven [4]</w:t>
      </w:r>
    </w:p>
    <w:p>
      <w:pPr>
        <w:spacing w:before="40" w:after="40"/>
        <w:ind w:left="283"/>
      </w:pPr>
      <w:r>
        <w:rPr>
          <w:rFonts w:ascii="Calibri" w:hAnsi="Calibri"/>
          <w:b/>
          <w:color w:val="4A6B25"/>
          <w:sz w:val="20"/>
        </w:rPr>
        <w:t xml:space="preserve">3. </w:t>
      </w:r>
      <w:r>
        <w:rPr>
          <w:rFonts w:ascii="Calibri" w:hAnsi="Calibri"/>
          <w:b w:val="0"/>
          <w:color w:val="3A4A28"/>
          <w:sz w:val="20"/>
        </w:rPr>
        <w:t>Gross profit trajectory — Q2 2026's 336% YoY improvement to $9.6M suggests the margin structure is improving even as revenue declines, potentially reaching operating breakeven within 12-18 months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Technical insolvency with shareholders' equity deficit of -$560.3M and total debt of $919.1M against just $86.3M cash — the company is burning cash faster than it generates revenue, creating existential balance sheet risk [1][6]</w:t>
      </w:r>
    </w:p>
    <w:p>
      <w:pPr>
        <w:spacing w:before="40" w:after="40"/>
        <w:ind w:left="283"/>
      </w:pPr>
      <w:r>
        <w:rPr>
          <w:rFonts w:ascii="Calibri" w:hAnsi="Calibri"/>
          <w:b/>
          <w:color w:val="4A6B25"/>
          <w:sz w:val="20"/>
        </w:rPr>
        <w:t xml:space="preserve">2. </w:t>
      </w:r>
      <w:r>
        <w:rPr>
          <w:rFonts w:ascii="Calibri" w:hAnsi="Calibri"/>
          <w:b w:val="0"/>
          <w:color w:val="3A4A28"/>
          <w:sz w:val="20"/>
        </w:rPr>
        <w:t>Daily dollar volume of approximately $670K fails the $1M liquidity floor, making the stock too illiquid for institutional ownership or IOWN portfolio inclusion [6]</w:t>
      </w:r>
    </w:p>
    <w:p>
      <w:pPr>
        <w:spacing w:before="40" w:after="40"/>
        <w:ind w:left="283"/>
      </w:pPr>
      <w:r>
        <w:rPr>
          <w:rFonts w:ascii="Calibri" w:hAnsi="Calibri"/>
          <w:b/>
          <w:color w:val="4A6B25"/>
          <w:sz w:val="20"/>
        </w:rPr>
        <w:t xml:space="preserve">3. </w:t>
      </w:r>
      <w:r>
        <w:rPr>
          <w:rFonts w:ascii="Calibri" w:hAnsi="Calibri"/>
          <w:b w:val="0"/>
          <w:color w:val="3A4A28"/>
          <w:sz w:val="20"/>
        </w:rPr>
        <w:t>Securities fraud litigation risk from allegations of financial statement errors, goodwill overstatement, and the October 2025 data breach create ongoing legal liability and reputational damage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Private aviation is a physical service requiring aircraft, pilots, fuel, airports, maintenance infrastructure, and regulatory compliance (FAA) that AI fundamentally cannot replace [6]. The physical-world operations moat is substantial — every flight requires a real airplane, a qualified crew, and ground infrastructure. Regulatory requirements around pilot certification, aircraft maintenance, and air safety further insulate the core service. However, AI-enabled virtual meeting technology creates some substitution risk for business travel, which is a meaningful portion of private aviation demand. This is an indirect threat that reduces the addressable market rather than displacing the service itself. AI Opportunity (0/1): Despite the Palantir partnership and 'AI-forward' positioning, Wheels Up does not generate revenue from AI-related products or services [4]. AI is used operationally for scheduling and pricing optimization, but no AI products are sold to external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Wheels Up Q2 2026 Results: Revenue $182M, Net Loss $107.2M — PrivateJetCardComparisons.com, August 2026</w:t>
      </w:r>
    </w:p>
    <w:p>
      <w:pPr>
        <w:spacing w:before="20" w:after="20"/>
        <w:ind w:left="170"/>
      </w:pPr>
      <w:r>
        <w:rPr>
          <w:rFonts w:ascii="Calibri" w:hAnsi="Calibri"/>
          <w:b/>
          <w:color w:val="4A6B25"/>
          <w:sz w:val="15"/>
        </w:rPr>
        <w:t xml:space="preserve">2. </w:t>
      </w:r>
      <w:r>
        <w:rPr>
          <w:rFonts w:ascii="Calibri" w:hAnsi="Calibri"/>
          <w:b w:val="0"/>
          <w:color w:val="3A4A28"/>
          <w:sz w:val="17"/>
        </w:rPr>
        <w:t>Wheels Up Q1 2026 Earnings: Revenue Down 4.9%, Liquidity Pressure — QuiverQuantitative, May 2026</w:t>
      </w:r>
    </w:p>
    <w:p>
      <w:pPr>
        <w:spacing w:before="20" w:after="20"/>
        <w:ind w:left="170"/>
      </w:pPr>
      <w:r>
        <w:rPr>
          <w:rFonts w:ascii="Calibri" w:hAnsi="Calibri"/>
          <w:b/>
          <w:color w:val="4A6B25"/>
          <w:sz w:val="15"/>
        </w:rPr>
        <w:t xml:space="preserve">3. </w:t>
      </w:r>
      <w:r>
        <w:rPr>
          <w:rFonts w:ascii="Calibri" w:hAnsi="Calibri"/>
          <w:b w:val="0"/>
          <w:color w:val="3A4A28"/>
          <w:sz w:val="17"/>
        </w:rPr>
        <w:t>Wheels Up Delta-Led Financing and First Quarter Results — PR Newswire, May 2026</w:t>
      </w:r>
    </w:p>
    <w:p>
      <w:pPr>
        <w:spacing w:before="20" w:after="20"/>
        <w:ind w:left="170"/>
      </w:pPr>
      <w:r>
        <w:rPr>
          <w:rFonts w:ascii="Calibri" w:hAnsi="Calibri"/>
          <w:b/>
          <w:color w:val="4A6B25"/>
          <w:sz w:val="15"/>
        </w:rPr>
        <w:t xml:space="preserve">4. </w:t>
      </w:r>
      <w:r>
        <w:rPr>
          <w:rFonts w:ascii="Calibri" w:hAnsi="Calibri"/>
          <w:b w:val="0"/>
          <w:color w:val="3A4A28"/>
          <w:sz w:val="17"/>
        </w:rPr>
        <w:t>Wheels Up CEO George Mattson Insider Purchases and AI Strategy — Investing.com, May 2026</w:t>
      </w:r>
    </w:p>
    <w:p>
      <w:pPr>
        <w:spacing w:before="20" w:after="20"/>
        <w:ind w:left="170"/>
      </w:pPr>
      <w:r>
        <w:rPr>
          <w:rFonts w:ascii="Calibri" w:hAnsi="Calibri"/>
          <w:b/>
          <w:color w:val="4A6B25"/>
          <w:sz w:val="15"/>
        </w:rPr>
        <w:t xml:space="preserve">5. </w:t>
      </w:r>
      <w:r>
        <w:rPr>
          <w:rFonts w:ascii="Calibri" w:hAnsi="Calibri"/>
          <w:b w:val="0"/>
          <w:color w:val="3A4A28"/>
          <w:sz w:val="17"/>
        </w:rPr>
        <w:t>Wheels Up Data Breach Investigation, October 2025 — ClaimDepot, 2025</w:t>
      </w:r>
    </w:p>
    <w:p>
      <w:pPr>
        <w:spacing w:before="20" w:after="20"/>
        <w:ind w:left="170"/>
      </w:pPr>
      <w:r>
        <w:rPr>
          <w:rFonts w:ascii="Calibri" w:hAnsi="Calibri"/>
          <w:b/>
          <w:color w:val="4A6B25"/>
          <w:sz w:val="15"/>
        </w:rPr>
        <w:t xml:space="preserve">6. </w:t>
      </w:r>
      <w:r>
        <w:rPr>
          <w:rFonts w:ascii="Calibri" w:hAnsi="Calibri"/>
          <w:b w:val="0"/>
          <w:color w:val="3A4A28"/>
          <w:sz w:val="17"/>
        </w:rPr>
        <w:t>Yahoo Finance — UP Key Statistics and Financial Data,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Wheels Up Q2 2026 Gross Profit and Earnings Detail — TradingKey,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