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USA</w:t>
      </w:r>
      <w:r>
        <w:rPr>
          <w:rFonts w:ascii="Calibri" w:hAnsi="Calibri"/>
          <w:b/>
          <w:color w:val="1A2010"/>
          <w:sz w:val="40"/>
        </w:rPr>
        <w:t xml:space="preserve">  Liberty All-Star Equity Fund</w:t>
      </w:r>
    </w:p>
    <w:p>
      <w:pPr>
        <w:spacing w:after="120"/>
      </w:pPr>
      <w:r>
        <w:rPr>
          <w:rFonts w:ascii="Calibri" w:hAnsi="Calibri"/>
          <w:b/>
          <w:color w:val="6E8450"/>
          <w:sz w:val="18"/>
        </w:rPr>
        <w:t>DIVIDEND SLEEVE · 2026-09-28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Closed-End Fund · NYSE · United States</w:t>
      </w:r>
    </w:p>
    <w:p>
      <w:pPr>
        <w:spacing w:after="80"/>
      </w:pPr>
      <w:r>
        <w:rPr>
          <w:rFonts w:ascii="Calibri" w:hAnsi="Calibri"/>
          <w:b w:val="0"/>
          <w:color w:val="3A4A28"/>
          <w:sz w:val="20"/>
        </w:rPr>
        <w:t>Liberty All-Star Equity Fund is a closed-end equity fund launched in 1986 and managed by ALPS Advisers, Inc. The fund employs a multi-manager approach with five sub-advisors (Aristotle Capital Management, Pzena Investment Management, Fiduciary Management, Sustainable Growth Advisers, and TCW Investment Management) spanning value and growth styles across large-cap U.S. equities. USA distributes approximately 10% of NAV annually and has paid dividends continuously since 1987. The fund posted an 8.8% NAV return in 2025 while trading at an approximately -8.2% discount to NAV. Total assets are approximately $1.8B.</w:t>
      </w:r>
    </w:p>
    <w:p>
      <w:r>
        <w:rPr>
          <w:rFonts w:ascii="Calibri" w:hAnsi="Calibri"/>
          <w:b/>
          <w:color w:val="6E8450"/>
          <w:sz w:val="18"/>
        </w:rPr>
        <w:t>https://www.all-starfunds.com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Liberty All-Star Equity Fund has maintained the same multi-manager large-cap equity strategy since its 1986 inception with no meaningful product launches, business model transformations, or strategic pivots [2]. The fund has periodically rotated sub-advisors (replacing Delaware Investments with Fiduciary Management) but the core structure is unchanged over 40 years. AI Deployment (0/2): No AI-powered products or AI-driven operational savings have been disclosed; the fund relies on traditional fundamental equity management across its five sub-advisors [2]. Market Share (0/2): USA is one of many large-cap equity closed-end funds and does not hold dominant or differentiated market position. The fund's $1.8B in assets represents a small fraction of the closed-end fund universe. Product Pipeline (0/2): No next-generation products or services have been announced; the fund's mandate is to continue its multi-manager equity strategy indefinitely. R&amp;D Intensity (0/1): Not applicable — closed-end funds do not conduct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Liberty All-Star Equity Fund's purpose is to generate current income and long-term capital appreciation for shareholders through diversified equity investment — a purely financial objective that does not articulate a deeper purpose beyond returning money to investors [2]. No mission, purpose, or vision statement exists on the fund's website beyond its investment mandate. Community Impact (0/2): No evidence of community programs, charitable initiatives, or social impact — the fund is a financial product managed by an external advisor, not an operating company with community ties. Employee Retention (0/2): Not applicable — the fund has no employees. ALPS Advisers serves as external advisor and the five sub-advisors manage their own portfolios independently. Insider Buying (0/2): No evidence of meaningful insider buying by fund trustees or ALPS Advisers management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though financial metrics have limited applicability for closed-end funds. D/E of 0.87% reflects essentially zero leverage, scoring at the maximum [4]. Profit margin of 252% (yfinance-reported, reflecting total return including unrealized gains relative to investment income) exceeds the 20% target, though this metric is distorted for fund vehicles. ROE of 3.6% is weak at 0.24 of target, reflecting the fund's small equity base relative to assets under management [4]. Revenue (investment income) declined -5.8% YoY, scoring 0.47 against the 10% growth target [1]. Consecutive years of dividends paid reaches 39 (1987-2026), scoring at maximum with 2x weight. However, payout ratio of 309% (the fund distributes more than investment income, drawing on capital gains and return of capital per its 10% of NAV policy) scores 0 as it exceeds the 100% floor. Distribution amounts are variable — not consecutively growing — as they track 10% of fluctuating NAV. Liquidity clears the floor at ~$8.1M daily value traded.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Liberty All-Star Equity Fund is a financial product, not a purpose-driven organization, and scores at the bottom of the infinite game framework accordingly. The fund has no Just Cause beyond generating returns, no employees to build trusting teams with, no courageous leadership decisions (the strategy is set by mandate), and no competitive self-improvement orientation. The sole positive is 40 years of operational continuity through multiple market cycles, demonstrating modest existential flexibility in surviving the dot-com crash, GFC, and COVID while maintaining distributions.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fund exists to generate income and capital appreciation for shareholders — a purely financial objective with no vision of a better future state, no inclusive cause that invites others to contribute, and no purpose beyond wealth creation [2]. This is the definition of a finite player in Sinek's framework: an entity that exists to maximize returns rather than to advance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Not applicable in any meaningful sense — the fund has no employees. ALPS Advisers serves as external advisor and the five sub-advisory firms operate independently. There is no internal organization to exhibit trust, psychological safety, or empowerment. The Board of Trustees provides oversight but this is a governance function, not a team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self-improvement orientation. The fund benchmarks against the S&amp;P 500, Lipper Large-Cap Core Average, DJIA, and NASDAQ — standard industry benchmarks [1]. Management commentary does not reference learning from competitors' strengths or using competitive pressure for improvement. The fund's competitive posture is passive — maintain the multi-manager strategy and let results speak.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Liberty All-Star Equity Fund has survived and maintained distributions through multiple severe market disruptions — the dot-com crash (2000-2002), the Global Financial Crisis (2008-2009), COVID-19 (2020), and the 2022 rate shock — demonstrating some adaptability through sub-advisor rotation and portfolio rebalancing [2]. The fund has periodically replaced underperforming sub-advisors while maintaining the overall multi-manager framework. However, the core strategy has been unchanged since 1986 — the flexibility is incremental adjustment within a rigid framework,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The fund's strategy is set by its investment mandate and maintained by ALPS Advisers. The 10% NAV distribution policy is mechanical, not a courageous choice. No examples of leadership sacrificing near-term performance for long-term capability, walking away from profitable but misaligned activities, or taking principled stances at cost were identified. The fund operates within its mandate without deviation.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Liberty All-Star Equity Fund offers an 11.41% distribution yield through a mechanical 10% of NAV annual payout policy backed by 39 consecutive years of dividend payments since 1987 [1]. The multi-manager approach with five specialized sub-advisors (Aristotle, Pzena, Fiduciary Management, Sustainable Growth Advisers, TCW) provides diversified large-cap equity exposure across value and growth styles [2]. D/E of 0.87% means virtually zero leverage risk, and the fund's -8% to -11% NAV discount provides a margin of safety for buyers willing to acquire diversified equity exposure below net asset value. The 2025 NAV return of 8.8% demonstrates reasonable investment performance [1]. For income-focused investors who accept the closed-end fund structure, USA provides stable high-yield equity income.</w:t>
      </w:r>
    </w:p>
    <w:p>
      <w:pPr>
        <w:spacing w:after="120"/>
      </w:pPr>
      <w:r>
        <w:rPr>
          <w:rFonts w:ascii="Calibri" w:hAnsi="Calibri"/>
          <w:b w:val="0"/>
          <w:color w:val="3A4A28"/>
          <w:sz w:val="20"/>
        </w:rPr>
        <w:t>The bear case is fundamental to the fund's structure. The IOWN Return on Intention framework is designed for operating companies with innovation capacity, organizational purpose, and strategic leadership — Liberty All-Star Equity Fund is none of these, scoring 0 on Innovation and 0 on Inspiration because it is a financial product managed by external advisors with no employees, no R&amp;D, and no mission beyond generating returns [2]. The payout ratio of 309% means distributions substantially exceed investment income, requiring realized capital gains or return of capital to sustain the 10% NAV distribution — in declining markets, this erodes NAV and creates a compounding destruction loop [1]. The persistent NAV discount of -8% to -11% (widening to -26% during stress periods) reflects structural market skepticism about the fund's fee-laden multi-manager approach versus low-cost index alternatives. Revenue (investment income) declined -5.8% YoY and earnings fell -80.4%, reflecting market headwinds. The total expense ratio for multi-manager CEFs creates a drag that passive alternatives avoid entirely.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Narrowing of the current -8% to -11% NAV discount toward par could provide 8-11% upside independent of market performance, driven by renewed income investor interest in high-yielding equity CEFs [3]</w:t>
      </w:r>
    </w:p>
    <w:p>
      <w:pPr>
        <w:spacing w:before="40" w:after="40"/>
        <w:ind w:left="283"/>
      </w:pPr>
      <w:r>
        <w:rPr>
          <w:rFonts w:ascii="Calibri" w:hAnsi="Calibri"/>
          <w:b/>
          <w:color w:val="4A6B25"/>
          <w:sz w:val="20"/>
        </w:rPr>
        <w:t xml:space="preserve">2. </w:t>
      </w:r>
      <w:r>
        <w:rPr>
          <w:rFonts w:ascii="Calibri" w:hAnsi="Calibri"/>
          <w:b w:val="0"/>
          <w:color w:val="3A4A28"/>
          <w:sz w:val="20"/>
        </w:rPr>
        <w:t>Broad U.S. equity market appreciation in 2026-2027 would lift NAV and mechanically increase the 10% distribution amount, potentially attracting income-seeking investors and narrowing the discount [1]</w:t>
      </w:r>
    </w:p>
    <w:p>
      <w:pPr>
        <w:spacing w:before="40" w:after="40"/>
        <w:ind w:left="283"/>
      </w:pPr>
      <w:r>
        <w:rPr>
          <w:rFonts w:ascii="Calibri" w:hAnsi="Calibri"/>
          <w:b/>
          <w:color w:val="4A6B25"/>
          <w:sz w:val="20"/>
        </w:rPr>
        <w:t xml:space="preserve">3. </w:t>
      </w:r>
      <w:r>
        <w:rPr>
          <w:rFonts w:ascii="Calibri" w:hAnsi="Calibri"/>
          <w:b w:val="0"/>
          <w:color w:val="3A4A28"/>
          <w:sz w:val="20"/>
        </w:rPr>
        <w:t>Sub-advisor rotation or addition of AI-enhanced investment capabilities could improve relative performance versus benchmarks and reduce the persistent discount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equity market decline would erode NAV and mechanically reduce distribution amounts under the 10% of NAV policy, potentially triggering a selling cascade as income investors exit, widening the discount — historically the discount has reached -26% during stress periods [3]</w:t>
      </w:r>
    </w:p>
    <w:p>
      <w:pPr>
        <w:spacing w:before="40" w:after="40"/>
        <w:ind w:left="283"/>
      </w:pPr>
      <w:r>
        <w:rPr>
          <w:rFonts w:ascii="Calibri" w:hAnsi="Calibri"/>
          <w:b/>
          <w:color w:val="4A6B25"/>
          <w:sz w:val="20"/>
        </w:rPr>
        <w:t xml:space="preserve">2. </w:t>
      </w:r>
      <w:r>
        <w:rPr>
          <w:rFonts w:ascii="Calibri" w:hAnsi="Calibri"/>
          <w:b w:val="0"/>
          <w:color w:val="3A4A28"/>
          <w:sz w:val="20"/>
        </w:rPr>
        <w:t>The 309% payout ratio means distributions are largely funded by capital gains and return of capital rather than investment income, making the yield unsustainable in flat or declining markets and masking gradual NAV erosion [4]</w:t>
      </w:r>
    </w:p>
    <w:p>
      <w:pPr>
        <w:spacing w:before="40" w:after="40"/>
        <w:ind w:left="283"/>
      </w:pPr>
      <w:r>
        <w:rPr>
          <w:rFonts w:ascii="Calibri" w:hAnsi="Calibri"/>
          <w:b/>
          <w:color w:val="4A6B25"/>
          <w:sz w:val="20"/>
        </w:rPr>
        <w:t xml:space="preserve">3. </w:t>
      </w:r>
      <w:r>
        <w:rPr>
          <w:rFonts w:ascii="Calibri" w:hAnsi="Calibri"/>
          <w:b w:val="0"/>
          <w:color w:val="3A4A28"/>
          <w:sz w:val="20"/>
        </w:rPr>
        <w:t>Structural competitive disadvantage versus low-cost index funds and ETFs — the multi-layer fee structure (ALPS advisory fee plus five sub-advisor fees) creates persistent performance drag that passive alternatives eliminate, driving secular outflows from actively managed closed-end funds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Liberty All-Star Equity Fund's core business — multi-manager large-cap equity investment — has meaningful but not existential AI exposure. AI-driven investment strategies, quantitative funds, and robo-advisors are commoditizing active equity management, but closed-end funds serve a different purpose (leveraged income distribution at fixed share counts) than traditional active funds competing on alpha [2]. The fund's 10% NAV distribution policy and multi-manager structure create switching costs for income-oriented holders who rely on the predictable distribution stream. However, the broader trend of fee compression and passive investing driven by AI and algorithmic strategies erodes the value proposition of active multi-manager approaches over time. AI Opportunity (0/1): The fund generates no AI-related revenue and the sub-advisors employ traditional fundamental equity strategies without disclosed AI integration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All-Star Equity Fund — 2025 NAV Return 8.8%, Market Return -0.11%, Discount -8.2%, 2026 YTD NAV Return +4.0% — StockTitan, Morningstar, Nasdaq, 2025-2026</w:t>
      </w:r>
    </w:p>
    <w:p>
      <w:pPr>
        <w:spacing w:before="20" w:after="20"/>
        <w:ind w:left="170"/>
      </w:pPr>
      <w:r>
        <w:rPr>
          <w:rFonts w:ascii="Calibri" w:hAnsi="Calibri"/>
          <w:b/>
          <w:color w:val="4A6B25"/>
          <w:sz w:val="15"/>
        </w:rPr>
        <w:t xml:space="preserve">2. </w:t>
      </w:r>
      <w:r>
        <w:rPr>
          <w:rFonts w:ascii="Calibri" w:hAnsi="Calibri"/>
          <w:b w:val="0"/>
          <w:color w:val="3A4A28"/>
          <w:sz w:val="17"/>
        </w:rPr>
        <w:t>Liberty All-Star Equity Fund Strategy — ALPS Advisors, Multi-Manager Approach, 5 Sub-Advisors, Formed 1986 — All-Star Funds Website, CEFA, Morningstar, 2026</w:t>
      </w:r>
    </w:p>
    <w:p>
      <w:pPr>
        <w:spacing w:before="20" w:after="20"/>
        <w:ind w:left="170"/>
      </w:pPr>
      <w:r>
        <w:rPr>
          <w:rFonts w:ascii="Calibri" w:hAnsi="Calibri"/>
          <w:b/>
          <w:color w:val="4A6B25"/>
          <w:sz w:val="15"/>
        </w:rPr>
        <w:t xml:space="preserve">3. </w:t>
      </w:r>
      <w:r>
        <w:rPr>
          <w:rFonts w:ascii="Calibri" w:hAnsi="Calibri"/>
          <w:b w:val="0"/>
          <w:color w:val="3A4A28"/>
          <w:sz w:val="17"/>
        </w:rPr>
        <w:t>CEF Connect — USA Fund Summary, Historical Discount/Premium Range -8% to -26%, Closed-End Fund Dynamics — CEFConnect.com,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USA Key Statistics: P/E 26.68x, ROE 3.6%, D/E 0.87%, Dividend Yield 11.41%, Payout Ratio 309%,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