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USB</w:t>
      </w:r>
      <w:r>
        <w:rPr>
          <w:rFonts w:ascii="Calibri" w:hAnsi="Calibri"/>
          <w:b/>
          <w:color w:val="1A2010"/>
          <w:sz w:val="40"/>
        </w:rPr>
        <w:t xml:space="preserve">  U.S. Bancorp</w:t>
      </w:r>
    </w:p>
    <w:p>
      <w:pPr>
        <w:spacing w:after="120"/>
      </w:pPr>
      <w:r>
        <w:rPr>
          <w:rFonts w:ascii="Calibri" w:hAnsi="Calibri"/>
          <w:b/>
          <w:color w:val="6E8450"/>
          <w:sz w:val="18"/>
        </w:rPr>
        <w:t>DIVIDEND SLEEVE · 2026-10-14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U.S. Bancorp is the parent company of U.S. Bank, the fifth-largest commercial bank in the United States with $680B+ in assets. The company provides a diversified mix of consumer and commercial banking, payments, wealth management, and corporate trust services across 26 states. Under CEO Gunjan Kedia (first woman to lead a top-5 US bank, elevated April 2025), USB posted record Q2 2026 revenue of $7.71B (+10.1% YoY) with adjusted EPS of $1.35 (+21.6%), NII of $4.4B (+7.5%), and fee income up 13.2%. The BTIG acquisition closed June 1, 2026, and full-year guidance was raised to 7-9% revenue growth. Founded in 1863, headquartered in Minneapolis, Minnesota.</w:t>
      </w:r>
    </w:p>
    <w:p>
      <w:r>
        <w:rPr>
          <w:rFonts w:ascii="Calibri" w:hAnsi="Calibri"/>
          <w:b/>
          <w:color w:val="6E8450"/>
          <w:sz w:val="18"/>
        </w:rPr>
        <w:t>70,000 Employees · https://www.usbank.com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USB completed the $8B MUFG Union Bank acquisition in 2022, adding $100B+ in assets and West Coast market access, and acquired BTIG (investment bank) in June 2026, but has not launched transformative new products or business model pivots — the core business remains traditional commercial and consumer banking with a strong payments franchise [1]. Q2 2026 fee income growth of 13.2% YoY demonstrates strong execution within existing lines. AI Deployment (1/2): USB invested $2.6B in technology in 2025 and appointed Prashant Mehrotra as Chief AI Officer to lead AI strategy and governance [2]. The company has deployed generative AI assistants, AI-powered cash forecasting tools for commercial clients, and is preparing for agentic AI, with 83% of customers using digital channels. CEO Kedia has discussed AI's role in banking, describing it as creating and eliminating roles simultaneously [2]. No specific AI revenue figures disclosed. Market Share (1/2): USB is the fifth-largest U.S. commercial bank with meaningful positions in payments processing and corporate trust services, but is not the category leader or fastest share gainer — larger peers JPM, BAC, and WFC dominate across segments [1]. Product Pipeline (1/2): The Amazon small business lending partnership launched Q3 2026 with projected $75-85M quarterly revenue contribution, representing a specific embedded finance product with revenue visibility [1]. R&amp;D Intensity (1/1): $2.6B annual technology investment is above-average for regional banks, reflecting top-quartile spending relative to asset size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U.S. Bank's purpose — 'We invest our hearts and minds to power human potential' — is clear and identifies the company's role in empowering stakeholders, but reads as polished corporate language that could apply to most financial services firms [3]. Community Impact (2/2): U.S. Bank has committed $100B+ in community development lending and investments, partnered with GRID Alternatives since 2010 to bring solar energy to underserved communities, and maintains the U.S. Bank Foundation with specific dollar commitments to affordable housing, economic development, and financial literacy [4]. Significant, distinctive community investment with measurable impact. Employee Retention (1/2): USB maintained stable leadership with a well-planned CEO succession from Andy Cecere to Gunjan Kedia in April 2025 — Cecere remains as executive chairman and Kedia was promoted from within after joining in 2016 — demonstrating institutional commitment to talent development [2]. However, no specific voluntary turnover or tenure data is publicly available. Insider Buying (0/2): Net insider selling dominated recent activity: CEO Kedia exercised options and sold $1.7M in August 2026; General Counsel Chosy sold $1.45M; CTO Venkatachari sold $1.9M; Officer Philipson sold $2.3M; and Officer Richard sold $2.3M [5]. Total net insider selling exceeded $9M across five executives with zero open-market purchases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dividend-stock metrics with D/E excluded (not applicable for bank holding companies whose leverage is regulatory-driven). Q2 2026 delivered record net revenue of $7.71B (+10.1% YoY) with NII of $4.4B (+7.5%) and fee income up 13.2%, prompting a guidance raise to 7-9% full-year revenue growth [1]. Forward P/E of 9.80x scores 1.0 against the 20x target — an exceptionally attractive valuation for the 5th-largest US bank [5]. Profit margin of 29.9% exceeds the 20% target, scoring 1.0. ROE of 12.62% scores 0.84 against the 15% target, improving with NIM expansion [1]. Revenue growth YoY of 10.4% scores 1.0, at target. Revenue growth 5yr CAGR of ~6.2% scores 0.75. Payout ratio of 41.5% scores 0.98, just above the 40% target. 40+ consecutive years of dividend payments scores 1.0 at 2x weight. 5 consecutive years of dividend growth (post-COVID restart in 2022) scores 0.50. 5yr dividend growth CAGR of ~4.8% (from $1.68 to $2.12) scores 0.80 at 2x weight, reflecting conservative increases during Union Bank integration. Stock clears the liquidity floor at $427M daily dollar volume ($56.89 x 7.49M avg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U.S. Bancorp's 163-year history and deliberate Cecere-to-Kedia CEO succession demonstrate institutional long-term thinking. The 40+ year dividend track record, $100B+ community investment, and internal promotion culture (Kedia groomed from 2016 to CEO in 2025) reflect genuine staying power. However, the company lacks a distinctive Just Cause beyond being a well-run bank — the purpose statement is corporate boilerplate, and strategic decisions optimize for efficiency ratios and earnings growth rather than advancing a transformative cause. Net insider selling of $9M+ across five executives in 2026 signals financial optimization over mission-driven conviction.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USB's purpose — 'We invest our hearts and minds to power human potential' — is a corporate purpose statement, not a Just Cause in Sinek's framework [3]. It does not describe a future state so appealing that people would sacrifice to advance it. Leadership references operational excellence, efficiency ratios, and 'industry-leading returns' rather than a cause that transcends quarterly performance. The $100B+ community lending commitment is operationally motivated by CRA requirements as much as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USB's deliberate CEO succession — Gunjan Kedia elevated from President to CEO in April 2025 after nine years at the company, with Andy Cecere remaining as executive chairman — signals organizational stability and trust in internal leadership development [2]. USB's culture encourages 'trying new things' with tolerance for failure. However, the post-Union Bank integration involved workforce restructuring, and no specific employee empowerment metrics or voluntary turnover data were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USB's competitive positioning explicitly acknowledges that JPMorgan, Bank of America, and Wells Fargo have superior scale, and the company competes by emphasizing operational efficiency and payments expertise rather than trying to 'beat' larger rivals [1]. Management's language focuses on earning 'best-in-class efficiency ratio' through self-improvement. The Amazon embedded finance partnership reflects learning from fintech rivals' strengths rather than trying to destroy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USB has evolved incrementally from a Midwest commercial bank to a national franchise — the $8B Union Bank acquisition expanded to the West Coast, the BTIG acquisition added investment banking, and the Amazon partnership represents embedded finance distribution [1]. Fee income growth of 13.2% in Q2 shows the diversification strategy is working. These are meaningful strategic adaptations but not transformative reinventions — the core banking business model remains fundamentally unchanged since 1863.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USB's management has demonstrated measured courage — investing $2.6B annually in technology during margin compression, acquiring BTIG to add capital markets capabilities, committing to the Amazon partnership that could cannibalize traditional lending channels, and promoting Gunjan Kedia as the first woman to lead a top-5 US bank [1][2]. However, these are competent strategic decisions rather than costly, transformative long-term bets that the market penalized — USB has not sacrificed near-term earnings for a bold, uncertain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U.S. Bancorp delivered a record Q2 2026 with revenue of $7.71B (+10.1% YoY), adjusted EPS of $1.35 (+21.6%), NII of $4.4B (+7.5%), and fee income up 13.2%, prompting management to raise full-year guidance to 7-9% revenue growth [1]. The BTIG acquisition closed June 1, adding capital markets capabilities with ~$200M expected quarterly revenue contribution in H2 2026. At 9.8x forward earnings with a 3.80% dividend yield, $2.16 annualized payout, and 40+ consecutive years of dividend payments, USB offers attractive income-plus-growth for a diversified $680B+ banking franchise [5]. The Amazon small business lending partnership launching Q3 2026 ($75-85M projected quarterly revenue) adds a credible new growth vector in embedded finance. CEO Kedia's appointment as the first woman to lead a top-5 US bank and the deliberate succession from Cecere reflect institutional leadership maturity.</w:t>
      </w:r>
    </w:p>
    <w:p>
      <w:pPr>
        <w:spacing w:after="120"/>
      </w:pPr>
      <w:r>
        <w:rPr>
          <w:rFonts w:ascii="Calibri" w:hAnsi="Calibri"/>
          <w:b w:val="0"/>
          <w:color w:val="3A4A28"/>
          <w:sz w:val="20"/>
        </w:rPr>
        <w:t>The primary risk is USB's position as a mid-tier player in an industry where scale advantages are accelerating — JPMorgan and Bank of America can outspend USB on technology by 5-10x, potentially creating a widening gap in AI-driven efficiency and customer experience [2]. ROE of 12.62% remains below the 15% cost-of-equity benchmark, suggesting Union Bank integration synergies have not fully materialized despite the NIM expansion to 2.79% from 2.66% [5]. Net insider selling exceeded $9M across CEO Kedia and four other executives in 2026, raising questions about management conviction at current levels — all transactions were option exercises and sales with zero open-market purchases [5]. The 5-year dividend growth CAGR of 4.8% barely exceeds inflation, limiting total return for income investors seeking real payout growth. The Inspire Impact Score of -67 (MISALIGNED) due to Abortion Activism and LGBT Activism negative attributions limits allocation for faith-based portfolios despite 15 positive ESG attributions. The stock's 11% decline from $63.81 to $56.89 since August may reflect pre-Q3 earnings positioning and concerns about commercial real estate exposure in the Union Bank portfolio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Amazon small business lending partnership launching Q3 2026 with projected $75-85M quarterly revenue, leveraging AI-driven credit decisioning to create a new embedded finance distribution channel for USB [1]</w:t>
      </w:r>
    </w:p>
    <w:p>
      <w:pPr>
        <w:spacing w:before="40" w:after="40"/>
        <w:ind w:left="283"/>
      </w:pPr>
      <w:r>
        <w:rPr>
          <w:rFonts w:ascii="Calibri" w:hAnsi="Calibri"/>
          <w:b/>
          <w:color w:val="4A6B25"/>
          <w:sz w:val="20"/>
        </w:rPr>
        <w:t xml:space="preserve">2. </w:t>
      </w:r>
      <w:r>
        <w:rPr>
          <w:rFonts w:ascii="Calibri" w:hAnsi="Calibri"/>
          <w:b w:val="0"/>
          <w:color w:val="3A4A28"/>
          <w:sz w:val="20"/>
        </w:rPr>
        <w:t>BTIG acquisition (closed June 2026) expected to contribute ~$200M quarterly revenue in H2 2026, adding capital markets and investment banking capabilities that diversify fee income beyond traditional banking [1]</w:t>
      </w:r>
    </w:p>
    <w:p>
      <w:pPr>
        <w:spacing w:before="40" w:after="40"/>
        <w:ind w:left="283"/>
      </w:pPr>
      <w:r>
        <w:rPr>
          <w:rFonts w:ascii="Calibri" w:hAnsi="Calibri"/>
          <w:b/>
          <w:color w:val="4A6B25"/>
          <w:sz w:val="20"/>
        </w:rPr>
        <w:t xml:space="preserve">3. </w:t>
      </w:r>
      <w:r>
        <w:rPr>
          <w:rFonts w:ascii="Calibri" w:hAnsi="Calibri"/>
          <w:b w:val="0"/>
          <w:color w:val="3A4A28"/>
          <w:sz w:val="20"/>
        </w:rPr>
        <w:t>Forward P/E of 9.8x represents compelling valuation for the 5th-largest US bank delivering 21.6% EPS growth and 10.4% revenue growth, with NIM expansion path toward 3% by 2027 providing continued NII growth visibility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Scale disadvantage vs. JPM, BAC, and WFC in technology investment — larger peers can outspend USB 5-10x on AI and digital infrastructure, and USB's cautious 'measure twice, cut once' AI philosophy may cause it to fall behind more aggressive adopters in the AI era [2]</w:t>
      </w:r>
    </w:p>
    <w:p>
      <w:pPr>
        <w:spacing w:before="40" w:after="40"/>
        <w:ind w:left="283"/>
      </w:pPr>
      <w:r>
        <w:rPr>
          <w:rFonts w:ascii="Calibri" w:hAnsi="Calibri"/>
          <w:b/>
          <w:color w:val="4A6B25"/>
          <w:sz w:val="20"/>
        </w:rPr>
        <w:t xml:space="preserve">2. </w:t>
      </w:r>
      <w:r>
        <w:rPr>
          <w:rFonts w:ascii="Calibri" w:hAnsi="Calibri"/>
          <w:b w:val="0"/>
          <w:color w:val="3A4A28"/>
          <w:sz w:val="20"/>
        </w:rPr>
        <w:t>Net insider selling of $9M+ across CEO Kedia and four other executives in 2026 with zero open-market purchases signals management monetizing equity compensation rather than expressing conviction in the company's forward trajectory [5]</w:t>
      </w:r>
    </w:p>
    <w:p>
      <w:pPr>
        <w:spacing w:before="40" w:after="40"/>
        <w:ind w:left="283"/>
      </w:pPr>
      <w:r>
        <w:rPr>
          <w:rFonts w:ascii="Calibri" w:hAnsi="Calibri"/>
          <w:b/>
          <w:color w:val="4A6B25"/>
          <w:sz w:val="20"/>
        </w:rPr>
        <w:t xml:space="preserve">3. </w:t>
      </w:r>
      <w:r>
        <w:rPr>
          <w:rFonts w:ascii="Calibri" w:hAnsi="Calibri"/>
          <w:b w:val="0"/>
          <w:color w:val="3A4A28"/>
          <w:sz w:val="20"/>
        </w:rPr>
        <w:t>Commercial real estate exposure across the Union Bank portfolio could generate elevated credit losses if office and retail property values continue declining, particularly in California markets acquired through the 2022 deal, while ROE of 12.62% still trails the 15% cost-of-equity benchmark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USB's core business — holding deposits, underwriting loans, processing payments, and managing wealth — requires regulatory licenses (banking charter, FDIC), physical branch infrastructure, and decades of institutional trust that AI cannot replicate [2]. However, AI-powered neobanks (Chime, SoFi) and embedded finance platforms continue capturing younger demographics, and AI-driven underwriting could compress margins in consumer lending. USB's payments business faces competition from AI-enabled payment processors, though scale and merchant network create switching costs. CEO Kedia acknowledged AI will eliminate some banking roles while creating new ones [2]. The West Virginia ESG dispute and subsequent policy revisions demonstrate regulatory/political risks for large banks [3]. AI Opportunity (1/1): USB has deployed AI across fraud detection, cash forecasting, and customer service automation, with a dedicated Chief AI Officer (Prashant Mehrotra) leading strategy [2]. The Amazon small business lending partnership leverages AI-driven credit decisioning and is projected to contribute $75-85M in quarterly revenue starting Q3 2026, representing quantifiable AI-enhanced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U.S. Bancorp Q2 2026 Earnings Release — Record Revenue $7.71B (+10.1%), NII $4.4B (+7.5%), Adjusted EPS $1.35 (+21.6%), Fee Income +13.2%, BTIG Closed June 1, Guidance Raised to 7-9% Revenue Growth, Amazon Partnership Q3 Launch, July 2026</w:t>
      </w:r>
    </w:p>
    <w:p>
      <w:pPr>
        <w:spacing w:before="20" w:after="20"/>
        <w:ind w:left="170"/>
      </w:pPr>
      <w:r>
        <w:rPr>
          <w:rFonts w:ascii="Calibri" w:hAnsi="Calibri"/>
          <w:b/>
          <w:color w:val="4A6B25"/>
          <w:sz w:val="15"/>
        </w:rPr>
        <w:t xml:space="preserve">2. </w:t>
      </w:r>
      <w:r>
        <w:rPr>
          <w:rFonts w:ascii="Calibri" w:hAnsi="Calibri"/>
          <w:b w:val="0"/>
          <w:color w:val="3A4A28"/>
          <w:sz w:val="17"/>
        </w:rPr>
        <w:t>U.S. Bancorp AI Strategy and Leadership — CEO Gunjan Kedia (April 2025), Chief AI Officer Prashant Mehrotra, $2.6B Annual Tech Investment, AI Center of Excellence, MPR News/CXOTalk/SEC Annual Report, 2025-2026</w:t>
      </w:r>
    </w:p>
    <w:p>
      <w:pPr>
        <w:spacing w:before="20" w:after="20"/>
        <w:ind w:left="170"/>
      </w:pPr>
      <w:r>
        <w:rPr>
          <w:rFonts w:ascii="Calibri" w:hAnsi="Calibri"/>
          <w:b/>
          <w:color w:val="4A6B25"/>
          <w:sz w:val="15"/>
        </w:rPr>
        <w:t xml:space="preserve">3. </w:t>
      </w:r>
      <w:r>
        <w:rPr>
          <w:rFonts w:ascii="Calibri" w:hAnsi="Calibri"/>
          <w:b w:val="0"/>
          <w:color w:val="3A4A28"/>
          <w:sz w:val="17"/>
        </w:rPr>
        <w:t>U.S. Bancorp ESG and Political Context — West Virginia Coal Policy Dispute 2022, ESG Policy Revisions, Sustainalytics ESG Rating 24.2 (Medium), Senate Banking Hearing, 2022-2026</w:t>
      </w:r>
    </w:p>
    <w:p>
      <w:pPr>
        <w:spacing w:before="20" w:after="20"/>
        <w:ind w:left="170"/>
      </w:pPr>
      <w:r>
        <w:rPr>
          <w:rFonts w:ascii="Calibri" w:hAnsi="Calibri"/>
          <w:b/>
          <w:color w:val="4A6B25"/>
          <w:sz w:val="15"/>
        </w:rPr>
        <w:t xml:space="preserve">4. </w:t>
      </w:r>
      <w:r>
        <w:rPr>
          <w:rFonts w:ascii="Calibri" w:hAnsi="Calibri"/>
          <w:b w:val="0"/>
          <w:color w:val="3A4A28"/>
          <w:sz w:val="17"/>
        </w:rPr>
        <w:t>U.S. Bank Corporate Responsibility — $100B+ Community Development Lending, GRID Alternatives Partnership, U.S. Bank Foundation, usbank.com/sustainability</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USB Stock Price $56.89, Forward P/E 9.80, ROE 12.62%, Profit Margin 29.9%, Dividend Yield 3.80%, Market Cap $88.6B, Insider Transactions (Net Selling $9M+),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