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UWMC</w:t>
      </w:r>
      <w:r>
        <w:rPr>
          <w:rFonts w:ascii="Calibri" w:hAnsi="Calibri"/>
          <w:b/>
          <w:color w:val="1A2010"/>
          <w:sz w:val="40"/>
        </w:rPr>
        <w:t xml:space="preserve">  UWM Holdings Corporation</w:t>
      </w:r>
    </w:p>
    <w:p>
      <w:pPr>
        <w:spacing w:after="120"/>
      </w:pPr>
      <w:r>
        <w:rPr>
          <w:rFonts w:ascii="Calibri" w:hAnsi="Calibri"/>
          <w:b/>
          <w:color w:val="6E8450"/>
          <w:sz w:val="18"/>
        </w:rPr>
        <w:t>GROWTH SLEEVE · 2026-10-05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Mortgage Finance · NYSE · United States</w:t>
      </w:r>
    </w:p>
    <w:p>
      <w:pPr>
        <w:spacing w:after="80"/>
      </w:pPr>
      <w:r>
        <w:rPr>
          <w:rFonts w:ascii="Calibri" w:hAnsi="Calibri"/>
          <w:b w:val="0"/>
          <w:color w:val="3A4A28"/>
          <w:sz w:val="20"/>
        </w:rPr>
        <w:t>UWM Holdings Corporation, through its subsidiary United Wholesale Mortgage, is the largest wholesale mortgage lender in the United States. The company originates, sells, and services residential mortgage loans exclusively through the wholesale channel, working with independent mortgage brokers. Founded in 1986, headquartered in Pontiac, Michigan, led by CEO Mat Ishbia. Q1 2026 delivered strong results ($901.4M revenue, $170.4M net income, $44.9B origination volume), but Q2 2026 swung to a $451.9M net loss on hedging-related interest rate derivative losses. The company suspended its dividend in August 2026 and announced a $2.05B equity capital partnership with Oaktree Capital and the Ishbia family. Stock has declined to $1.26.</w:t>
      </w:r>
    </w:p>
    <w:p>
      <w:r>
        <w:rPr>
          <w:rFonts w:ascii="Calibri" w:hAnsi="Calibri"/>
          <w:b/>
          <w:color w:val="6E8450"/>
          <w:sz w:val="18"/>
        </w:rPr>
        <w:t>9,100 Employees · https://www.uwm.com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UWM grew from a mid-tier wholesale lender to the largest wholesale mortgage originator in the U.S., but growth was achieved primarily through aggressive pricing and broker relationship management rather than fundamental business model transformation [1]. Q1 2026 origination volume of $44.9B (+39% YoY) demonstrated execution, but Q2 collapsed to $39.7B with a $451.9M net loss from hedging failures [1]. AI Deployment (1/2): UWM's AI-powered assistant Mia supports millions of conversations for broker engagement, with Spanish-language support and expanded capabilities [2]. The Google Cloud partnership targets mortgage modernization through AI, with management projecting $40-100M in annual cost savings by 2027 from AI-automated servicing [2]. Market Share (2/2): UWM is the undisputed leader in wholesale mortgage origination, consistently the #1 or #2 overall U.S. mortgage lender by volume. Q1 2026 volume of $44.9B was the second-highest first quarter in company history [1]. Product Pipeline (0/2): No next-generation products or new business lines announced with specific timelines beyond AI tool enhancements and in-house servicing expansion. R&amp;D Intensity (1/1): Meaningful investment in proprietary technology for broker tools, automated underwriting, and AI-powered processing relative to mortgage industry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UWM's stated purpose centers on empowering independent mortgage brokers and making homeownership accessible — generic financial services positioning interchangeable with any wholesale lender's messaging [2]. The 2021 broker ultimatum (forcing brokers to choose UWM exclusively or be dropped) directly contradicted the empowerment narrative. Community Impact (0/2): No significant charitable programs, community foundation, or specific community investment dollar amounts identified. The Inspire score of +33 with only one positive attribution ('Product Access and Affordability') suggests minimal engagement beyond the core business. Employee Retention (0/2): Reports of toxic work culture have surfaced publicly. Employee culture ratings are in the bottom 25% for companies of similar size on Comparably [3]. Workforce fluctuates significantly with mortgage volume cycles. Insider Buying (1/2): The Ishbia family controls approximately 79% of voting power through Class D shares. The $2.05B Oaktree capital partnership involves Ishbia family co-investment, representing significant personal wealth at stake. However, the capital raise was triggered by hedging losses and dividend suspension — signaling financial distress rather than pure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(dividend suspended August 2026). D/E of 1,613% is far above the 300% floor (score 0.0, 1x) — extreme leverage typical of mortgage finance but punitive in the mechanical scoring framework [4]. ROE of -7.7% is below the 0% floor (score 0.0, 2x). Revenue growth YoY of -70.6% is below the -20% floor (score 0.0, 1x) — driven by mark-to-market swings on MSRs and hedging derivatives that make quarter-to-quarter revenue comparisons unreliable for mortgage companies [1][4]. Revenue growth 5yr CAGR of approximately -10% (from $4.9B peak in 2021 to $3.2B in FY2025) is below the -5% floor (score 0.0, 2x). Forward P/E of 3.65 is deeply below the 20x target (score 1.0, 1x). Profit margin of -1.3% is below 0% floor (score 0.0, 1x). PEG excluded. Weighted sum: 0.0 + 0.0 + 0.0 + 0.0 + 1.0 + 0.0 = 1.0. Max weighted = 8. Infrastructure = round(1.0/8 x 10) = 1. Liquidity: 16.7M avg volume x $1.26 = $21M, clears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UWM operates with a profoundly finite mindset focused on market share dominance, quarterly volume metrics, and family wealth concentration. The August 2026 dividend suspension — after years of paying out more than the company earned (133% payout ratio) — is the culmination of finite-game financial management. CEO Ishbia's 2021 broker ultimatum (choose UWM exclusively or be dropped), the $2.05B emergency capital raise with Oaktree, the $603M lawsuit against Two Harbors, and the dual-class share structure concentrating 79% voting power all signal a company playing to win each quarter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UWM's stated purpose of empowering independent mortgage brokers and expanding homeownership exists but reads as competitive positioning rather than a Just Cause in Sinek's framework [2]. CEO Ishbia references the broker channel's importance but frames it in competitive terms ('brokers vs. retail lenders'). The 2021 ultimatum — forcing brokers to choose UWM exclusively or be dropped — directly contradicted a purpose centered on broker empowerment and revealed a finite power-play mindset. The dividend suspension and Oaktree capital raise suggest the organization is now focused on financial survival rather than advancing any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indicators point to a low-trust environment. Employee culture ratings are in the bottom 25% on Comparably [3]. Reports of toxic work culture have surfaced publicly. CEO Ishbia's management style is described as intense and metrics-driven. The workforce fluctuates with mortgage volume cycles, creating chronic employment instability. A class action lawsuit alleging a 'steering enterprise' using the 'All In' broker agreement further erodes the trust narrative. Sinek would identify this as an organization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UWM's competitive language is quintessentially finite. The 2021 ultimatum forcing brokers to choose between UWM and competitors (Rocket, Fairway) is Sinek's anti-example of how not to compete [3]. CEO Ishbia frames competition as a zero-sum war for broker loyalty rather than an opportunity to improve. The $603M lawsuit against Two Harbors reflects combative rather than learning-oriented competitive behavior.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UWM has shown incremental flexibility — pivoting toward in-house mortgage servicing, signing the Google Cloud AI partnership, adapting pricing strategy through interest rate cycles, and raising $2.05B from Oaktree to restructure the balance sheet [1][2]. The willingness to suspend the dividend — a painful admission of unsustainability — shows some strategic pragmatism. However, UWM remains fundamentally a wholesale mortgage originator with no transformative reinvention of its core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August 2026 sequence — suspending the dividend, announcing a $2.05B Oaktree capital raise, and suing Two Harbors for $603M over a failed deal — reflects reactive crisis management, not courageous long-term leadership [1][3]. UWM maintained an unsustainable 133% dividend payout ratio for years, extracting $600M+ annually in Ishbia family dividends rather than building capital reserves. When hedging losses on interest rate derivatives produced a $451.9M Q2 net loss, the company was forced into emergency measures. Courageous leadership would have built reserves during profitable quarters.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UWM's franchise strength was evident in Q1 2026 — $901.4M revenue (+47% YoY), $170.4M net income, and $44.9B origination volume (+39% YoY), the second-highest Q1 ever [1]. As the largest U.S. wholesale mortgage lender, UWM holds a dominant competitive position with proprietary technology, fast closing times, and deep broker relationships. At $1.26 per share (down ~65% YTD), the stock is priced for existential distress with a forward P/E of 3.65x, despite adjusted Q2 EPS of $0.23 beating consensus by 188% [1]. The $2.05B Oaktree/Ishbia capital partnership provides recapitalization runway, and the Mia AI platform with projected $40-100M in servicing savings by 2027 could improve unit economics. If mortgage rates decline and refinancing volumes surge, UWM's wholesale channel captures disproportionate share.</w:t>
      </w:r>
    </w:p>
    <w:p>
      <w:pPr>
        <w:spacing w:after="120"/>
      </w:pPr>
      <w:r>
        <w:rPr>
          <w:rFonts w:ascii="Calibri" w:hAnsi="Calibri"/>
          <w:b w:val="0"/>
          <w:color w:val="3A4A28"/>
          <w:sz w:val="20"/>
        </w:rPr>
        <w:t>The bear case is severe and structural. The Q2 2026 $451.9M net loss from hedging failures on interest rate derivatives exposed catastrophic risk management weakness — the same derivatives meant to protect the business destroyed an entire quarter's earnings [1]. The dividend suspension after 22 consecutive quarterly payments, the emergency $2.05B Oaktree capital raise (dilutive at distressed pricing), and the $603M lawsuit against Two Harbors all occurred within a single week, destroying investor confidence [3]. D/E of 1,613% reflects extreme financial leverage with minimal equity cushion — any sustained housing downturn could create existential stress. The Ishbia family's dual-class structure concentrates 79% voting power while minority shareholders bear downside risk. The 5-year revenue CAGR of -10% reflects violent boom-bust cyclicality ($4.9B peak in 2021 to $0.8B trough in 2023) that makes earnings unpredictable. Employee culture concerns (bottom 25% ratings, toxic culture allegations) and broker ultimatum controversy create ongoing operational and legal risk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catalyzing a refinancing wave — UWM's wholesale channel captures disproportionate share, and Q1 2026 demonstrated operating leverage when volume returns ($44.9B origination, $170.4M net income) [1]</w:t>
      </w:r>
    </w:p>
    <w:p>
      <w:pPr>
        <w:spacing w:before="40" w:after="40"/>
        <w:ind w:left="283"/>
      </w:pPr>
      <w:r>
        <w:rPr>
          <w:rFonts w:ascii="Calibri" w:hAnsi="Calibri"/>
          <w:b/>
          <w:color w:val="4A6B25"/>
          <w:sz w:val="20"/>
        </w:rPr>
        <w:t xml:space="preserve">2. </w:t>
      </w:r>
      <w:r>
        <w:rPr>
          <w:rFonts w:ascii="Calibri" w:hAnsi="Calibri"/>
          <w:b w:val="0"/>
          <w:color w:val="3A4A28"/>
          <w:sz w:val="20"/>
        </w:rPr>
        <w:t>The $2.05B Oaktree/Ishbia capital partnership stabilizing the balance sheet and restoring investor confidence, potentially enabling recovery from the deeply oversold $1.26 level [3]</w:t>
      </w:r>
    </w:p>
    <w:p>
      <w:pPr>
        <w:spacing w:before="40" w:after="40"/>
        <w:ind w:left="283"/>
      </w:pPr>
      <w:r>
        <w:rPr>
          <w:rFonts w:ascii="Calibri" w:hAnsi="Calibri"/>
          <w:b/>
          <w:color w:val="4A6B25"/>
          <w:sz w:val="20"/>
        </w:rPr>
        <w:t xml:space="preserve">3. </w:t>
      </w:r>
      <w:r>
        <w:rPr>
          <w:rFonts w:ascii="Calibri" w:hAnsi="Calibri"/>
          <w:b w:val="0"/>
          <w:color w:val="3A4A28"/>
          <w:sz w:val="20"/>
        </w:rPr>
        <w:t>In-house mortgage servicing operation with projected $40-100M in annual AI-automated cost savings by 2027, transforming UWM from origination-only to a vertically integrated servicing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Catastrophic hedging losses on interest rate derivatives ($451.9M Q2 net loss) exposed fundamental risk management failure — if derivative losses recur, the 1,613% D/E balance sheet has minimal equity to absorb shocks [1]</w:t>
      </w:r>
    </w:p>
    <w:p>
      <w:pPr>
        <w:spacing w:before="40" w:after="40"/>
        <w:ind w:left="283"/>
      </w:pPr>
      <w:r>
        <w:rPr>
          <w:rFonts w:ascii="Calibri" w:hAnsi="Calibri"/>
          <w:b/>
          <w:color w:val="4A6B25"/>
          <w:sz w:val="20"/>
        </w:rPr>
        <w:t xml:space="preserve">2. </w:t>
      </w:r>
      <w:r>
        <w:rPr>
          <w:rFonts w:ascii="Calibri" w:hAnsi="Calibri"/>
          <w:b w:val="0"/>
          <w:color w:val="3A4A28"/>
          <w:sz w:val="20"/>
        </w:rPr>
        <w:t>Dividend suspension, $2.05B emergency capital raise at distressed pricing, and $603M Two Harbors lawsuit within a single week signal potential financial distress — stock has lost ~65% YTD to $1.26 [3]</w:t>
      </w:r>
    </w:p>
    <w:p>
      <w:pPr>
        <w:spacing w:before="40" w:after="40"/>
        <w:ind w:left="283"/>
      </w:pPr>
      <w:r>
        <w:rPr>
          <w:rFonts w:ascii="Calibri" w:hAnsi="Calibri"/>
          <w:b/>
          <w:color w:val="4A6B25"/>
          <w:sz w:val="20"/>
        </w:rPr>
        <w:t xml:space="preserve">3. </w:t>
      </w:r>
      <w:r>
        <w:rPr>
          <w:rFonts w:ascii="Calibri" w:hAnsi="Calibri"/>
          <w:b w:val="0"/>
          <w:color w:val="3A4A28"/>
          <w:sz w:val="20"/>
        </w:rPr>
        <w:t>Ishbia family dual-class share structure concentrates 79% voting power while extracting years of unsustainable dividends (133% payout ratio) — minority shareholders bear downside risk with no governance recourse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Mortgage origination faces meaningful AI exposure — automated underwriting, AI-powered loan processing, and digital mortgage platforms from fintech competitors could reduce the intermediation value of UWM's broker network model [2][3]. AI is commoditizing loan processing functions that UWM's scale advantage previously protected. However, the wholesale channel's reliance on human broker relationships, regulatory complexity in mortgage compliance (TILA, RESPA, state licensing), and the physical closing process provide structural protection that AI augments but does not replace. The servicing business involves complex regulatory interactions and borrower management that AI improves but cannot fully automate. AI Opportunity (1/1): UWM has a strategic Google Cloud partnership for AI-powered mortgage modernization, the AI assistant Mia serves brokers with millions of conversations, and management projects $40-100M in annual cost savings from AI-automated servicing by 2027 [2]. These represent quantifiable AI-enabled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UWM Holdings Q1 and Q2 2026 Earnings — Q1: $901.4M Revenue (+47% YoY), $170.4M Net Income, $44.9B Origination Volume; Q2: $888M Revenue, -$451.9M Net Loss on Hedging, $39.7B Origination — BusinessWire, SEC Form 8-K, May-August 2026</w:t>
      </w:r>
    </w:p>
    <w:p>
      <w:pPr>
        <w:spacing w:before="20" w:after="20"/>
        <w:ind w:left="170"/>
      </w:pPr>
      <w:r>
        <w:rPr>
          <w:rFonts w:ascii="Calibri" w:hAnsi="Calibri"/>
          <w:b/>
          <w:color w:val="4A6B25"/>
          <w:sz w:val="15"/>
        </w:rPr>
        <w:t xml:space="preserve">2. </w:t>
      </w:r>
      <w:r>
        <w:rPr>
          <w:rFonts w:ascii="Calibri" w:hAnsi="Calibri"/>
          <w:b w:val="0"/>
          <w:color w:val="3A4A28"/>
          <w:sz w:val="17"/>
        </w:rPr>
        <w:t>UWM Holdings AI Strategy and Leadership — CEO Mat Ishbia, Google Cloud Partnership, AI Assistant Mia, $40-100M Servicing Savings Target — UWM Careers, National Mortgage Professional, 2025-2026</w:t>
      </w:r>
    </w:p>
    <w:p>
      <w:pPr>
        <w:spacing w:before="20" w:after="20"/>
        <w:ind w:left="170"/>
      </w:pPr>
      <w:r>
        <w:rPr>
          <w:rFonts w:ascii="Calibri" w:hAnsi="Calibri"/>
          <w:b/>
          <w:color w:val="4A6B25"/>
          <w:sz w:val="15"/>
        </w:rPr>
        <w:t xml:space="preserve">3. </w:t>
      </w:r>
      <w:r>
        <w:rPr>
          <w:rFonts w:ascii="Calibri" w:hAnsi="Calibri"/>
          <w:b w:val="0"/>
          <w:color w:val="3A4A28"/>
          <w:sz w:val="17"/>
        </w:rPr>
        <w:t>UWM Holdings Crisis Events August 2026 — Dividend Suspension, $2.05B Oaktree/Ishbia Capital Partnership, Two Harbors $603M Lawsuit, Stock Decline, Toxic Culture Allegations — CNBC, Benzinga, National Mortgage Professional, Comparably,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UWMC Key Statistics: Stock Price $1.26, Forward P/E 3.65, D/E 1,613%, ROE -7.7%, Profit Margin -1.3%, Avg Volume 16.7M,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