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VET</w:t>
      </w:r>
      <w:r>
        <w:rPr>
          <w:rFonts w:ascii="Calibri" w:hAnsi="Calibri"/>
          <w:b/>
          <w:color w:val="1A2010"/>
          <w:sz w:val="40"/>
        </w:rPr>
        <w:t xml:space="preserve">  Vermilion Energy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2026-09-11 · Inspire: 0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45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Energy · Oil &amp; Gas E&amp;P · NYSE · Canada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Vermilion Energy is a Calgary-based international oil and gas producer with a diversified portfolio spanning Canada, France, the Netherlands, Germany, Ireland, Australia, and Central/Eastern Europe. The company recently increased its ownership of the Corrib natural gas project offshore Ireland to 56.5% from 20% via the acquisition of Equinor's stake, and reported Q2 2026 production of 125,800 boe/d, exceeding guidance, alongside $840M of debt reduction over five quarters [1]. Full-year 2026 production guidance was raised to 121,000-123,000 boe/d on unchanged E&amp;D capital of $600-630M.</w:t>
      </w:r>
    </w:p>
    <w:p>
      <w:r>
        <w:rPr>
          <w:rFonts w:ascii="Calibri" w:hAnsi="Calibri"/>
          <w:b/>
          <w:color w:val="6E8450"/>
          <w:sz w:val="18"/>
        </w:rPr>
        <w:t>636 Employees · https://www.vermilionenergy.com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Vermilion's primary 'transformation' in the last 5 years is portfolio consolidation via M&amp;A — most notably raising its Corrib gas field stake from 20% to 56.5% by acquiring Equinor's interest — rather than a product or business-model pivot [1][3]. AI Deployment (0/2): No evidence of AI-powered products or quantified AI-driven cost savings was found in company disclosures or press releases. Market Share (1/2): Vermilion is a meaningful but non-dominant international E&amp;P player with no category-leading share data cited. Product Pipeline (1/2): 2026 guidance offers specific production (121,000-123,000 boe/d) and capital ($600-630M) visibility, though this is standard E&amp;P guidance rather than next-generation product development [1]. R&amp;D Intensity (0/1): As an oil and gas producer, Vermilion does not report material R&amp;D spending, and no above-industry-average R&amp;D intensity was identified.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(1/4): Vermilion states it is 'guided by core values of Excellence, Trust, Respect and Responsibility' — generic corporate values language interchangeable with any E&amp;P peer, with no distinctive articulation of purpose beyond production and shareholder returns [2]. Community Impact (0/2): No specific charitable programs, foundation, or dollar-quantified community investment were found in research. Employee Retention (0/2): Headcount fell from 743 to 636 (-14.4%) in 2025, and no tenure or voluntary-turnover data supporting a retention narrative was found. Insider Buying (0/2): Modest insider purchases were identified — CEO Dion Hatcher bought ~$16.5K in shares and a senior officer bought C$31,860 — but these are small, routine transactions rather than meaningful conviction buying, so this scores as neutral rather than a positive signal 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as a growth/prospect stock. D/E of 0.63 (63%) and Forward P/E of 20.33 both sit near their respective targets (score ~1.0 and ~0.99). Revenue growth of +17.1% YoY (FY2025 vs FY2024) exceeds the 10% target (score 1.0), reflecting the Corrib acquisition and higher realized prices [1][5]. However, ROE of -18.54% and profit margin of -24.25% both fall at or below their zero floors, scoring 0, driven by a net loss of -$314M over the trailing twelve months tied to non-cash impairments and commodity price volatility [5]. Forward PEG is not meaningfully calculable given depressed trailing earnings and is excluded from the weighted calculation. The stock clears the liquidity floor comfortably (~1.13M shares/day x $13.39 = ~$15.2M daily dollar volume, well above the $1M threshold).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Vermilion behaves as a disciplined but conventionally finite-game E&amp;P operator — its strategic narrative centers on debt reduction, return-of-capital frameworks, and opportunistic M&amp;A (Corrib) rather than a Just Cause that transcends quarterly and annual capital allocation targets. Leadership has made some balance-sheet-protective decisions (the 2020 dividend suspension) but the company's public communications are dominated by production guidance and shareholder-return metrics typical of a commodity producer optimizing for the current cycle.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Vermilion's stated values ('Excellence, Trust, Respect and Responsibility') function as generic corporate principles rather than a resilient, service-oriented vision of a better future; the company's public messaging centers on production growth, debt reduction, and shareholder returns rather than a cause bigger than the business itself [2]. No evidence was found of strategic decisions traced back to a distinctive purpose beyond operational and financial discipline.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Vermilion describes a 'collaborative, community-minded culture' with values-based onboarding, but the 14.4% headcount reduction in 2025 (743 to 636 employees) is a meaningful contraction that cuts against a high-trust, stability narrative, and no independent tenure or turnover data was found to substantiate the culture claims [2][7].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was found of Vermilion framing competitive dynamics as a source of self-improvement or explicitly acknowledging peer strengths; company communications focus on internal operational metrics (production guidance, capital discipline) rather than competitive positioning language of either kind.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Vermilion has incrementally reshaped its portfolio through international diversification (Canada, France, Netherlands, Germany, Ireland, Australia) and the recent Corrib stake increase to 56.5%, but this is portfolio optimization within the same oil and gas E&amp;P business model rather than a transformative reinvention of what the company does [1][3].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Suspending the dividend in April 2020 to protect the balance sheet during the oil price collapse, followed by a disciplined multi-year deleveraging path ($840M debt reduction over five quarters) before restoring and growing the dividend, reflects a willingness to prioritize long-term solvency over short-term shareholder returns, though this is a single crisis-driven example rather than a sustained pattern of proactive, non-crisis-driven courageous bets [1][8].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Vermilion offers a diversified, internationally hedged oil and gas production base with improving capital discipline — Q2 2026 production of 125,800 boe/d beat guidance, the company has reduced debt by $840M over five quarters, and it raised full-year 2026 production guidance to 121,000-123,000 boe/d without increasing the $600-630M capital budget [1]. The Corrib stake increase to 56.5% adds high-margin European gas exposure at a time when European gas prices and AI-driven electricity demand growth provide a structural tailwind for natural gas producers. Revenue grew 17.1% YoY in FY2025, and the dividend has grown for five consecutive years since its 2022 reinstatement, with the current yield near 2.9%.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profitability and balance sheet quality: trailing ROE of -18.54% and profit margin of -24.25% reflect a net loss of roughly -$314M over the trailing twelve months, and GuruFocus-style screens flag an Altman Z-Score near 0.32, indicating elevated financial distress risk for a commodity producer exposed to volatile oil and natural gas prices [5]. The company's 2020 dividend suspension during the oil price collapse demonstrates that its shareholder return program is not resilient through a full commodity cycle, and the 14.4% workforce reduction in 2025 suggests ongoing cost pressure. With no discernible AI-linked revenue, weak innovation-checklist evidence, and a finite-game strategic posture centered on debt paydown and capital returns rather than a differentiated Just Cause, Vermilion is a cyclical, commodity-price-dependent holding rather than a durable compounder.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Continued ramp of the Corrib gas project following the stake increase to 56.5%, adding high-margin, low-decline European natural gas production as regional gas prices remain elevated [1][3]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Further debt reduction toward management's leverage targets, which could unlock an increased 40-60% return-of-capital payout ratio on excess free cash flow as announced with Q2 2026 results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Rising European and North American natural gas demand tied to AI data center electricity consumption, which could support realized gas prices across Vermilion's Netherlands, Germany, and Ireland assets [6]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Commodity price volatility remains the dominant risk — a renewed oil or European gas price downturn would pressure the -18.54% ROE and -24.25% profit margin further and could force another dividend suspension as occurred in 2020 [1][5]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Elevated financial distress signals (Altman Z-Score ~0.32) indicate the balance sheet has limited room for error if commodity prices weaken or if the Corrib integration requires unplanned capital [5]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Continued workforce reductions (-14.4% in 2025) and reliance on M&amp;A-driven consolidation rather than organic reserve growth raise questions about the long-term production replacement rate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(8/9): Vermilion's business — physical extraction and sale of oil and natural gas from operated fields in Canada and Europe — cannot be substituted by AI software; production, drilling, and reservoir management remain physical-world operations that AI can optimize but not replace [6]. Industry research indicates AI is being used by oil and gas majors (e.g., BP's ~97% upstream plant reliability from predictive maintenance) as an efficiency enabler for the sector rather than a disruptive threat, and rising AI-driven data center electricity demand is a structural tailwind for natural gas producers like Vermilion's European gas assets [6]. AI Opportunity (0/1): No quantified AI-related revenue or AI-driven cost savings specific to Vermilion were identified in research, so no tiebreaker point is awarded.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0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Vermilion Energy Inc. Q2 2026 Results, Increases Annual Production Guidance and Enhances Return of Capital Framework — PR Newswire,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Vermilion Energy — Our Leadership and corporate values statements, vermilionenergy.com,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Vermilion Captures Majority Ownership in Ireland's Corrib Natural Gas Project — Natural Gas Intelligence,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The Globe and Mail / MarketBeat / TipRanks — VET insider trading summaries,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stockanalysis.com — VET Statistics &amp; Valuation and Financials pages,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6. </w:t>
      </w:r>
      <w:r>
        <w:rPr>
          <w:rFonts w:ascii="Calibri" w:hAnsi="Calibri"/>
          <w:b w:val="0"/>
          <w:color w:val="3A4A28"/>
          <w:sz w:val="17"/>
        </w:rPr>
        <w:t>EY / Oil &amp; Gas Journal / Investing.com — AI adoption and impact on oil &amp; gas sector operations and earnings,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7. </w:t>
      </w:r>
      <w:r>
        <w:rPr>
          <w:rFonts w:ascii="Calibri" w:hAnsi="Calibri"/>
          <w:b w:val="0"/>
          <w:color w:val="3A4A28"/>
          <w:sz w:val="17"/>
        </w:rPr>
        <w:t>Vermilion Energy Inc. — 2025 workforce disclosure via stockanalysis.com Employees page,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8. </w:t>
      </w:r>
      <w:r>
        <w:rPr>
          <w:rFonts w:ascii="Calibri" w:hAnsi="Calibri"/>
          <w:b w:val="0"/>
          <w:color w:val="3A4A28"/>
          <w:sz w:val="17"/>
        </w:rPr>
        <w:t>Vermilion Energy Inc. Announces Suspension of Monthly Dividend, April 2020; Vermilion Energy 2023 Budget and Guidance, 25% Dividend Increase press release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