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VG</w:t>
      </w:r>
      <w:r>
        <w:rPr>
          <w:rFonts w:ascii="Calibri" w:hAnsi="Calibri"/>
          <w:b/>
          <w:color w:val="1A2010"/>
          <w:sz w:val="40"/>
        </w:rPr>
        <w:t xml:space="preserve">  Venture Global, Inc.</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NYQ · United States</w:t>
      </w:r>
    </w:p>
    <w:p>
      <w:pPr>
        <w:spacing w:after="80"/>
      </w:pPr>
      <w:r>
        <w:rPr>
          <w:rFonts w:ascii="Calibri" w:hAnsi="Calibri"/>
          <w:b w:val="0"/>
          <w:color w:val="3A4A28"/>
          <w:sz w:val="20"/>
        </w:rPr>
        <w:t>Venture Global is a Virginia-based LNG developer, constructor, and exporter that pioneered a modular, factory-built construction approach enabling faster and lower-cost facility development than traditional stick-built LNG projects. The company operates Calcasieu Pass LNG in Louisiana, is ramping Plaquemines LNG toward Q4 2026 commercial operations, and has CP2 LNG permitted with FID targeted for early 2027. Q2 2026 delivered record results: $4.6B revenue (+48% YoY), $2.5B Adjusted EBITDA (+79%), and 127 cargos exported. Full-year 2026 EBITDA guidance was raised to $8.7-$9.1B.</w:t>
      </w:r>
    </w:p>
    <w:p>
      <w:r>
        <w:rPr>
          <w:rFonts w:ascii="Calibri" w:hAnsi="Calibri"/>
          <w:b/>
          <w:color w:val="6E8450"/>
          <w:sz w:val="18"/>
        </w:rPr>
        <w:t>2,000 Employees · https://ventureglobal.com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Venture Global's modular, factory-built LNG construction methodology represents a genuine departure from traditional stick-built projects, enabling Calcasieu Pass to reach production faster than comparable greenfield facilities and establishing a replicable model now being applied to Plaquemines and CP2 [1]. The approach opened a substantial new revenue stream, with TTM revenue reaching $17.0B from essentially zero in 2021. AI Deployment (0/2): No evidence of AI-powered products or quantified AI-driven operational efficiencies was found in available research. Market Share (1/2): Venture Global is a meaningful U.S. LNG exporter with 91% of 2026 capacity contracted and 6.75 MTPA in long-term value contracts, but Cheniere Energy remains the dominant U.S. LNG player by installed capacity [1][2]. Product Pipeline (2/2): Specific next-generation projects are named with timelines: Plaquemines Phase I commercial operations expected Q4 2026, CP2 LNG FID targeted early 2027, and the company targets 100 MTPA in operation or under construction by 2030 [1]. R&amp;D Intensity (0/1): As an LNG infrastructure operator, the company has no meaningful R&amp;D spend line relative to industrial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Venture Global's stated purpose of providing 'low-cost, clean, and reliable' American LNG is generic and interchangeable with any LNG exporter's marketing language. The company's pattern of prioritizing spot-market sales over honoring long-term supply contracts — resulting in arbitration losses with BP (seeking $1B+ in damages), Shell, Repsol, Edison, and Galp — directly undermines any claim to reliability as a lived value [2]. Community Impact (0/2): Environmental controversies dominate community relations. The Louisiana DEQ logged nearly 200 air emission incidents at Calcasieu Pass from 2022-2024, resulting in a $245,000 settlement [3]. The Louisiana Bucket Brigade alleges 4,500+ hours of permit-violating operations releasing 20,000+ pounds of air pollutants and 500+ unreported flaring incidents since 2022 [3]. Employee Retention (0/2): The previous screening found Glassdoor rated the company 3.2/5 overall with just 2.4/5 for work-life balance, with reviews citing 'abusive upper level leadership' and only 46% of employees recommending the company [2]. Insider Buying (0/2): No evidence of net insider buying was identified; previous screening found insider transactions skewed toward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354.6% far exceeds the 300% floor (score 0.0, 1x weight), reflecting $42.8B in total debt against $3.2B cash to fund massive LNG terminal construction [1]. ROE of 33.6% far exceeds the 15% target (score 1.0, 2x weight), demonstrating strong capital efficiency on generating assets. Revenue growth of 47.6% YoY vastly exceeds the 10% target (score 1.0, 1x weight). Forward P/E of 13.3 is below the 20 target (score 1.0, 1x weight). Profit margin of 22.1% exceeds the 20% target (score 1.0, 1x weight). PEG of 1.4 falls between the 1.0 target and 3.0 floor (score 0.8, 2x weight). Five-year revenue CAGR is excluded given the January 2025 IPO. The extreme leverage is the primary drag, though it is structural for the LNG development model. Daily dollar volume of $192M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Venture Global operates as a finite-game player: a young, hyper-leveraged LNG platform whose most consequential strategic choice — prioritizing lucrative spot-market cargo sales over honoring long-term supply contracts with BP, Shell, Repsol, Edison, and Galp — has been tested in arbitration and found wanting. The pattern of commercial optimization over contractual commitment, compounded by nearly 200 air emission incidents and weak employee culture signals, reveals a company optimizing for near-term cash capture rather than the trust-building consistency Sinek associates with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Venture Global's mission language around affordable, reliable American energy is standard industry marketing rather than a differentiated cause that visibly shapes strategic decisions [2]. The BP arbitration loss — where an ICC tribunal found the company breached its contract by selling LNG on the spot market instead of to contracted buyers — is direct evidence that commercial optimization takes precedence over stated commitments to reliable delivery. Nearly 200 air emission incidents at Calcasieu Pass further undermine any environmental stewardship claims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(3.2/5 overall, 2.4/5 work-life balance) describe 'abusive upper level leadership' and an 'unsafe working culture,' with only 46% of reviewers recommending the company [2]. The community relationship with Cameron Parish is adversarial — residents pushed for a public hearing on the DEQ settlement, and advocacy groups allege systematic permit violations [3]. This is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VG framing competitors as sources of self-improvement. Public commentary centers on adversarial legal disputes with counterparties over contract performance, and CEO Sabel's statements emphasize 'relentless commitment to execution' rather than learning from rivals like Cheniere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VG has expanded from a single facility (Calcasieu Pass) to a multi-terminal platform (Plaquemines, CP2, with Delta LNG in development) and pioneered the modular construction approach that differentiates it from traditional LNG developers [1]. However, this is scaling the same business model rather than a transformative pivot into a fundamentally new market or technology.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Rather than honoring long-term contractual commitments during periods of high spot LNG prices, VG chose to sell into the more lucrative spot market — generating near-term profit but triggering multiple arbitration losses and legal disputes with BP, Shell, Repsol, Edison, and Galp [2]. This is the opposite of Sinek's courageous leadership, which sacrifices short-term gain for long-term trust and capability. Taking on $42.8B in debt is financial aggression, not courage in service of a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Venture Global at $13.29 is a high-growth LNG exporter trading at an attractive 13.3x forward earnings with a PEG of 1.4 and delivering explosive financial performance — Q2 2026 revenue grew 48% YoY to $4.6B, Adjusted EBITDA surged 79% to $2.5B (54% margin), and full-year EBITDA guidance was raised to $8.7-$9.1B with 91% of cargos contracted [1]. The modular construction approach has proven commercially successful with ROE of 33.6% and profit margins expanding to 22.1%, demonstrating that VG's engineering innovation translates into real capital efficiency. The pipeline is substantial: Plaquemines Phase I commercial operations expected Q4 2026, CP2 FID targeted early 2027, and the company targets 100 MTPA capacity by 2030. AI data center power demand is a secular tailwind for natural gas demand.</w:t>
      </w:r>
    </w:p>
    <w:p>
      <w:pPr>
        <w:spacing w:after="120"/>
      </w:pPr>
      <w:r>
        <w:rPr>
          <w:rFonts w:ascii="Calibri" w:hAnsi="Calibri"/>
          <w:b w:val="0"/>
          <w:color w:val="3A4A28"/>
          <w:sz w:val="20"/>
        </w:rPr>
        <w:t>The bear case is multi-dimensional. VG's D/E of 354.6% represents $42.8B in debt — an extreme leverage position even for capital-intensive LNG infrastructure — leaving minimal margin for error if spot prices soften, expansion projects face delays, or arbitration settlements require material cash outlays [1]. The pattern of breaching long-term supply contracts to capture spot-market premiums (BP arbitration loss with $1B+ in damages, pending disputes with Shell, Repsol, Edison, Galp) raises fundamental questions about counterparty trust that could impair future project financing and contract negotiations [2]. Environmental compliance is problematic: the Louisiana DEQ logged nearly 200 air emission incidents at Calcasieu Pass from 2022-2024, and advocacy groups allege 4,500+ hours of permit-violating operations [3]. Internal culture signals are weak (Glassdoor 3.2/5, 'abusive upper level leadership'), congressional scrutiny of government financing is ongoing, and insider transactions have skewed toward selling. The Infinite Game score of 2/10 reflects a company optimizing for near-term cash capture at the expense of trust and long-term relationships.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Plaquemines Phase I commercial operations expected Q4 2026 would add substantial contracted LNG capacity and stabilize revenue with long-term fixed-price contracts versus volatile commissioning-phase spot sales [1]</w:t>
      </w:r>
    </w:p>
    <w:p>
      <w:pPr>
        <w:spacing w:before="40" w:after="40"/>
        <w:ind w:left="283"/>
      </w:pPr>
      <w:r>
        <w:rPr>
          <w:rFonts w:ascii="Calibri" w:hAnsi="Calibri"/>
          <w:b/>
          <w:color w:val="4A6B25"/>
          <w:sz w:val="20"/>
        </w:rPr>
        <w:t xml:space="preserve">2. </w:t>
      </w:r>
      <w:r>
        <w:rPr>
          <w:rFonts w:ascii="Calibri" w:hAnsi="Calibri"/>
          <w:b w:val="0"/>
          <w:color w:val="3A4A28"/>
          <w:sz w:val="20"/>
        </w:rPr>
        <w:t>CP2 LNG FID targeted for early 2027, which would represent the third major LNG facility and progress toward the 100 MTPA capacity target by 2030, significantly expanding VG's production footprint [1]</w:t>
      </w:r>
    </w:p>
    <w:p>
      <w:pPr>
        <w:spacing w:before="40" w:after="40"/>
        <w:ind w:left="283"/>
      </w:pPr>
      <w:r>
        <w:rPr>
          <w:rFonts w:ascii="Calibri" w:hAnsi="Calibri"/>
          <w:b/>
          <w:color w:val="4A6B25"/>
          <w:sz w:val="20"/>
        </w:rPr>
        <w:t xml:space="preserve">3. </w:t>
      </w:r>
      <w:r>
        <w:rPr>
          <w:rFonts w:ascii="Calibri" w:hAnsi="Calibri"/>
          <w:b w:val="0"/>
          <w:color w:val="3A4A28"/>
          <w:sz w:val="20"/>
        </w:rPr>
        <w:t>Raised 2026 EBITDA guidance of $8.7-$9.1B with 91% of cargos contracted and sensitivity of $180-$210M per $1/MMBtu change in liquefaction fees provides visible earnings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arbitration and litigation with long-term offtake customers (BP seeking $1B+, plus Shell, Repsol, Edison, Galp) over allegations VG withheld contracted LNG cargoes to sell at higher spot prices — potential settlements could materially impact cash flows and impair future contract credibility [2]</w:t>
      </w:r>
    </w:p>
    <w:p>
      <w:pPr>
        <w:spacing w:before="40" w:after="40"/>
        <w:ind w:left="283"/>
      </w:pPr>
      <w:r>
        <w:rPr>
          <w:rFonts w:ascii="Calibri" w:hAnsi="Calibri"/>
          <w:b/>
          <w:color w:val="4A6B25"/>
          <w:sz w:val="20"/>
        </w:rPr>
        <w:t xml:space="preserve">2. </w:t>
      </w:r>
      <w:r>
        <w:rPr>
          <w:rFonts w:ascii="Calibri" w:hAnsi="Calibri"/>
          <w:b w:val="0"/>
          <w:color w:val="3A4A28"/>
          <w:sz w:val="20"/>
        </w:rPr>
        <w:t>Extreme leverage of 354.6% D/E ($42.8B total debt) leaves the company vulnerable to LNG price downturns, expansion delays, or tightening credit conditions, with free cash flow still deeply negative at -$8.6B due to massive construction capex [1]</w:t>
      </w:r>
    </w:p>
    <w:p>
      <w:pPr>
        <w:spacing w:before="40" w:after="40"/>
        <w:ind w:left="283"/>
      </w:pPr>
      <w:r>
        <w:rPr>
          <w:rFonts w:ascii="Calibri" w:hAnsi="Calibri"/>
          <w:b/>
          <w:color w:val="4A6B25"/>
          <w:sz w:val="20"/>
        </w:rPr>
        <w:t xml:space="preserve">3. </w:t>
      </w:r>
      <w:r>
        <w:rPr>
          <w:rFonts w:ascii="Calibri" w:hAnsi="Calibri"/>
          <w:b w:val="0"/>
          <w:color w:val="3A4A28"/>
          <w:sz w:val="20"/>
        </w:rPr>
        <w:t>Environmental compliance record: nearly 200 air emission incidents at Calcasieu Pass (2022-2024), $245K DEQ settlement, congressional scrutiny of government financing, and community opposition in Cameron Parish create regulatory and reputational risk for future permitting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Venture Global's core business — liquefying and exporting physical natural gas via capital-intensive terminal infrastructure — is structurally immune to AI-driven substitution [1]. No software or AI tool can replace the physical liquefaction, shipping, and delivery of LNG cargoes. Rising global electricity demand from AI data center buildout is a secular tailwind for natural gas demand, though VG does not sell directly to data center operators. The capital-intensive, physically-rooted, and permits-required nature of the business creates structural barriers AI cannot circumvent. AI Opportunity (0/1): No quantified AI-related revenue stream was identified. VG sells LNG under long-term contracts and on the spot market rather than participating in AI infrastructure 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Venture Global Q2 2026 Earnings Release (SEC 8-K) — $4.6B Revenue (+48% YoY), $2.5B Adjusted EBITDA (+79%), 127 Cargos, Raised 2026 EBITDA Guidance to $8.7-$9.1B, July 2026</w:t>
      </w:r>
    </w:p>
    <w:p>
      <w:pPr>
        <w:spacing w:before="20" w:after="20"/>
        <w:ind w:left="170"/>
      </w:pPr>
      <w:r>
        <w:rPr>
          <w:rFonts w:ascii="Calibri" w:hAnsi="Calibri"/>
          <w:b/>
          <w:color w:val="4A6B25"/>
          <w:sz w:val="15"/>
        </w:rPr>
        <w:t xml:space="preserve">2. </w:t>
      </w:r>
      <w:r>
        <w:rPr>
          <w:rFonts w:ascii="Calibri" w:hAnsi="Calibri"/>
          <w:b w:val="0"/>
          <w:color w:val="3A4A28"/>
          <w:sz w:val="17"/>
        </w:rPr>
        <w:t>Venture Global LNG Contract Disputes, CEO Sabel Strategy, Glassdoor Reviews — Yahoo Finance, Seeking Alpha, Finviz,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Venture Global Environmental Controversies — Louisiana DEQ Settlement ($245K for ~200 Incidents), Cameron Parish Public Hearing, Bucket Brigade Allegations — KPLC, American Press, LA Illuminator,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