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VICI</w:t>
      </w:r>
      <w:r>
        <w:rPr>
          <w:rFonts w:ascii="Calibri" w:hAnsi="Calibri"/>
          <w:b/>
          <w:color w:val="1A2010"/>
          <w:sz w:val="40"/>
        </w:rPr>
        <w:t xml:space="preserve">  VICI Properties Inc.</w:t>
      </w:r>
    </w:p>
    <w:p>
      <w:pPr>
        <w:spacing w:after="120"/>
      </w:pPr>
      <w:r>
        <w:rPr>
          <w:rFonts w:ascii="Calibri" w:hAnsi="Calibri"/>
          <w:b/>
          <w:color w:val="6E8450"/>
          <w:sz w:val="18"/>
        </w:rPr>
        <w:t>DIVIDEND SLEEVE · 2026-10-14 · Inspire: -65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Diversified · NYSE · United States</w:t>
      </w:r>
    </w:p>
    <w:p>
      <w:pPr>
        <w:spacing w:after="80"/>
      </w:pPr>
      <w:r>
        <w:rPr>
          <w:rFonts w:ascii="Calibri" w:hAnsi="Calibri"/>
          <w:b w:val="0"/>
          <w:color w:val="3A4A28"/>
          <w:sz w:val="20"/>
        </w:rPr>
        <w:t>VICI Properties is an S&amp;P 500 experiential REIT owning one of the largest portfolios of market-leading gaming, hospitality, and entertainment destinations, including Caesars Palace Las Vegas, MGM Grand, and the Venetian Resort. The portfolio comprises 103 experiential assets across 63 gaming and 40 other experiential properties totaling approximately 130 million square feet with 66,000 hotel rooms. Q2 2026 revenue rose 5.7% YoY to $1.1B with AFFO of $679.6M ($0.62/share), and management updated full-year AFFO guidance to $2.675-$2.695/share.</w:t>
      </w:r>
    </w:p>
    <w:p>
      <w:r>
        <w:rPr>
          <w:rFonts w:ascii="Calibri" w:hAnsi="Calibri"/>
          <w:b/>
          <w:color w:val="6E8450"/>
          <w:sz w:val="18"/>
        </w:rPr>
        <w:t>28 Employees · https://www.viciproperties.com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VICI has grown through transformative acquisitions — the $17.2B MGM Growth Properties merger (2022) and $4B Venetian acquisition (2021) expanded the portfolio from a Caesars-centric REIT to the dominant experiential real estate platform, and the $1.16B Golden Entertainment sale-leaseback in 2026 continues this trajectory [1][3]. However, the core business model (triple-net lease REIT) has remained unchanged since the 2017 founding. AI Deployment (0/2): VICI is a 28-person corporate entity that owns triple-net leased properties — there is no AI deployment, no AI-powered products, and no AI-driven cost savings; AI is structurally irrelevant to the net lease REIT model [5]. Market Share (2/2): VICI is the undisputed category leader in experiential real estate, owning the three most iconic gaming properties on the Las Vegas Strip and 103 experiential assets nationally with no other pure-play experiential REIT of comparable scale — the company effectively created and dominates this asset class [5]. Product Pipeline (1/2): The $1.16B Golden Entertainment purchase, Gamehost acquisition, and approximately 33 acres of undeveloped land adjacent to the Strip demonstrate a visible acquisition pipeline, with expansion into wellness (Canyon Ranch), water parks (Great Wolf), and entertainment (Chelsea Piers, Lucky Strike) broadening the addressable market [1][3]. R&amp;D Intensity (0/1): Not applicable — VICI is a net lease REIT with minimal operating infrastructure and no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VICI's stated purpose — 'to create the highest quality and most productive experiential real estate portfolio through partnering with the highest quality experiential place makers and operators' — is clear and specific to the company's niche, differentiating from generic REITs through the experiential economy thesis, but it describes a business strategy rather than a deeper purpose about why experiential real estate matters to society [5]. Community Impact (1/2): VICI publishes ESG reports aligned with SASB and TCFD frameworks, maintains a board-level ESG Committee, and the 2023-2024 ESG report covers environmental sustainability and UN SDG alignment [4]. However, as a 28-person entity that net-leases to operators, direct community impact is inherently limited. Employee Retention (1/2): CEO Edward Pitoniak has led the company since its 2017 founding, demonstrating leadership continuity, and the exceptionally lean 28-person team running an S&amp;P 500 company with $4B+ revenue suggests high per-capita productivity and mutual trust, though no specific turnover or tenure data is available [5]. Insider Buying (0/2): No evidence of meaningful net open-market insider buying by CEO Pitoniak or other executives was identified in the last 12 months; founding team equity stakes reflect initial ownership rather than recent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all core and dividend metrics. D/E of 60.3% is below the 70% target (score 1.0), supported by investment-grade ratings from all three major agencies with net debt/EBITDA of 4.9x [1][6]. Forward P/E of 7.66x scores perfectly against the 20x target (score 1.0), reflecting the stock's decline to $22.91. Profit margin of 67.5% (score 1.0) is driven by the triple-net lease model where tenants bear all property-level expenses [6]. ROE of 9.8% is below the 15% target (score 0.66), typical for equity-heavy REITs where depreciation depresses GAAP returns. Revenue growth of 5.7% YoY (score 0.86) reflects organic rent escalators, while 5yr revenue CAGR of approximately 24% (score 1.0) includes the portfolio-doubling MGP acquisition. Dividend profile: payout ratio 70.0% (score 0.50), 8 consecutive years paid since 2018 IPO (score 0.80, 2x weight), 7 years of consecutive growth (score 0.70), and 5yr dividend growth CAGR of approximately 8.5% exceeds the 6% target (score 1.0, 2x weight) [6]. Daily dollar volume of $222.7M clears the liquidity floor easily.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VICI under Ed Pitoniak has built an experiential real estate empire from scratch in under a decade, demonstrating genuine long-term thinking about creating a durable asset portfolio. The five investment criteria framework (lower cyclicality, no secular threat, supply/demand balance, proven durability, economic dynamism) reflects systematic infinite-game thinking about portfolio construction. However, the company is young (founded 2017), has not been tested through a major crisis or leadership transition, and the purpose — owning extraordinary properties — is a compelling investment thesis but not a Just Cause in Sinek's sense.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VICI's purpose — owning extraordinary experiential real estate — is specific and differentiating but describes a business strategy rather than a Just Cause [5]. Pitoniak articulates a compelling vision of the Las Vegas Strip as an 'incomparable experiential powerhouse' and positions VICI as the institutional owner of irreplaceable assets. His five investment criteria reflect genuine intentionality. But this is an investment thesis, not a future state so appealing people would sacrifice to advance it.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VICI's 28-person team has operated with remarkable stability under Pitoniak's founding leadership since 2017, and the lean structure running $4B+ in revenue and $25B+ in market cap suggests extraordinary per-capita productivity that requires deep mutual trust and autonomy [5]. G&amp;A spending is among the lowest of all 29 S&amp;P 500 REITs as a percentage of revenue. However, no specific employee satisfaction data, voluntary turnover rates, or cultural indicators are available to distinguish the organization beyond its small size.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Pitoniak frequently references how traditional net-lease REITs like Realty Income and NNN have built durable platforms over decades, using their example to improve VICI's own approach to capital allocation, lease structuring, and portfolio construction [3]. The competitive language is consistently about building the best portfolio of experiential assets and learning from industry leaders, not defeating specific competitors.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VICI evolved from a Caesars-focused gaming REIT spun out of bankruptcy in 2017 to a diversified experiential platform through the MGP merger, Venetian acquisition, Golden Entertainment deal, and expansion into non-gaming assets like Canyon Ranch and Great Wolf [1][3]. This is meaningful strategic evolution driven by the vision of 'experiential real estate' as an asset class broader than gaming. However, the core business model (triple-net lease REIT) has remained constant — the company is too young to have faced a true existential flexibility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Pitoniak demonstrated strategic discipline by maintaining leverage below the 5.0x target (4.9x net debt/EBITDA) while pursuing transformative growth, and expansion from gaming-only into experiential sectors — Canyon Ranch, Great Wolf, Chelsea Piers — required conviction that the experiential REIT model could extend beyond its gaming origins [1][3]. However, these were generally accretive acquisitions that enhanced near-term earnings rather than costly sacrifices of short-term performance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VICI at $22.91 offers an 8.0% dividend yield backed by one of the most defensible real estate portfolios in the REIT universe — 103 experiential properties including Caesars Palace, MGM Grand, and the Venetian, leased to operators under long-term triple-net agreements with contractual rent escalators [1][6]. Q2 2026 revenue grew 5.7% YoY to $1.1B with AFFO of $679.6M ($0.62/share), and the company raised full-year AFFO guidance to $2.675-$2.695/share [1]. At 7.66x forward earnings with 7 consecutive years of dividend growth averaging 8.5% CAGR, investment-grade balance sheet at 4.9x net debt/EBITDA, and AI-immune physical assets, VICI offers a compelling combination of current income and modest growth. Expansion into non-gaming experiential assets (Canyon Ranch, Great Wolf, Chelsea Piers, Club Med) diversifies the earnings base beyond gaming concentration.</w:t>
      </w:r>
    </w:p>
    <w:p>
      <w:pPr>
        <w:spacing w:after="120"/>
      </w:pPr>
      <w:r>
        <w:rPr>
          <w:rFonts w:ascii="Calibri" w:hAnsi="Calibri"/>
          <w:b w:val="0"/>
          <w:color w:val="3A4A28"/>
          <w:sz w:val="20"/>
        </w:rPr>
        <w:t>The bear case centers on VICI's gaming concentration risk and structural growth limitations. Despite diversification efforts, Caesars Entertainment and MGM Resorts account for the majority of rental income, creating binary counterparty risk in an economic downturn [3]. Revenue growth has decelerated to mid-single digits as the acquisition-driven growth phase matures, with organic growth limited to 1.5-2.5% annual rent escalators, capping AFFO/share growth in mid-single digits absent new deals [1]. The stock has fallen ~13% from its 52-week high, reflecting interest rate sensitivity — as a high-yield, long-duration asset, VICI's valuation compresses mechanically with higher-for-longer rates, and the 8.0% dividend yield must compete with risk-free alternatives [6]. GAAP EPS declined 41.4% YoY due to comparison effects, and the 70% payout ratio is above the 40% target, limiting FFO retention. The Inspire Impact Score of -65 (MISALIGNED) due to Gambling and Sexually Explicit attributions limits allocation for faith-based portfolios despite 13 positive ESG attributions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8.0% dividend yield with 7 consecutive years of growth and AFFO guidance raised to $2.675-$2.695/share for 2026, supported by contractual rent escalators embedded in long-term triple-net leases with investment-grade gaming operators [1][6]</w:t>
      </w:r>
    </w:p>
    <w:p>
      <w:pPr>
        <w:spacing w:before="40" w:after="40"/>
        <w:ind w:left="283"/>
      </w:pPr>
      <w:r>
        <w:rPr>
          <w:rFonts w:ascii="Calibri" w:hAnsi="Calibri"/>
          <w:b/>
          <w:color w:val="4A6B25"/>
          <w:sz w:val="20"/>
        </w:rPr>
        <w:t xml:space="preserve">2. </w:t>
      </w:r>
      <w:r>
        <w:rPr>
          <w:rFonts w:ascii="Calibri" w:hAnsi="Calibri"/>
          <w:b w:val="0"/>
          <w:color w:val="3A4A28"/>
          <w:sz w:val="20"/>
        </w:rPr>
        <w:t>$1.16B Golden Entertainment sale-leaseback and continued expansion into experiential categories (Canyon Ranch, Great Wolf, Chelsea Piers, Club Med) diversifying revenue beyond gaming and expanding the addressable market [3]</w:t>
      </w:r>
    </w:p>
    <w:p>
      <w:pPr>
        <w:spacing w:before="40" w:after="40"/>
        <w:ind w:left="283"/>
      </w:pPr>
      <w:r>
        <w:rPr>
          <w:rFonts w:ascii="Calibri" w:hAnsi="Calibri"/>
          <w:b/>
          <w:color w:val="4A6B25"/>
          <w:sz w:val="20"/>
        </w:rPr>
        <w:t xml:space="preserve">3. </w:t>
      </w:r>
      <w:r>
        <w:rPr>
          <w:rFonts w:ascii="Calibri" w:hAnsi="Calibri"/>
          <w:b w:val="0"/>
          <w:color w:val="3A4A28"/>
          <w:sz w:val="20"/>
        </w:rPr>
        <w:t>Interest rate normalization potential — if rates decline, VICI's 8.0% yield becomes increasingly attractive versus risk-free alternatives, potentially driving valuation re-rating from current depressed levels at 7.66x forward earnings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Tenant concentration risk — Caesars Entertainment and MGM Resorts represent the majority of rental income, creating binary downside if either operator faces financial distress during an economic downturn or Las Vegas market softening [3]</w:t>
      </w:r>
    </w:p>
    <w:p>
      <w:pPr>
        <w:spacing w:before="40" w:after="40"/>
        <w:ind w:left="283"/>
      </w:pPr>
      <w:r>
        <w:rPr>
          <w:rFonts w:ascii="Calibri" w:hAnsi="Calibri"/>
          <w:b/>
          <w:color w:val="4A6B25"/>
          <w:sz w:val="20"/>
        </w:rPr>
        <w:t xml:space="preserve">2. </w:t>
      </w:r>
      <w:r>
        <w:rPr>
          <w:rFonts w:ascii="Calibri" w:hAnsi="Calibri"/>
          <w:b w:val="0"/>
          <w:color w:val="3A4A28"/>
          <w:sz w:val="20"/>
        </w:rPr>
        <w:t>Interest rate sensitivity — as a high-yield, long-duration income asset, VICI's valuation is mechanically compressed by higher-for-longer rates, with the 8.0% dividend competing directly with risk-free Treasury yields [6]</w:t>
      </w:r>
    </w:p>
    <w:p>
      <w:pPr>
        <w:spacing w:before="40" w:after="40"/>
        <w:ind w:left="283"/>
      </w:pPr>
      <w:r>
        <w:rPr>
          <w:rFonts w:ascii="Calibri" w:hAnsi="Calibri"/>
          <w:b/>
          <w:color w:val="4A6B25"/>
          <w:sz w:val="20"/>
        </w:rPr>
        <w:t xml:space="preserve">3. </w:t>
      </w:r>
      <w:r>
        <w:rPr>
          <w:rFonts w:ascii="Calibri" w:hAnsi="Calibri"/>
          <w:b w:val="0"/>
          <w:color w:val="3A4A28"/>
          <w:sz w:val="20"/>
        </w:rPr>
        <w:t>Organic growth ceiling — contractual rent escalators of 1.5-2.5% annually limit AFFO/share growth to mid-single digits without acquisitions, requiring continued capital markets access in an increasingly competitive experiential real estate market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VICI's core business — owning physical real estate leased to gaming, hospitality, and entertainment operators under long-term triple-net leases — is structurally immune to AI substitution [5]. Casinos, hotels, resorts, and entertainment venues are fundamentally physical experiences that AI cannot replicate or replace. Triple-net leases generate contractual rent escalators (1.5-2.5% annually) regardless of technology shifts. AI-driven productivity gains may actually increase disposable income and leisure time, boosting demand for experiential entertainment. The only indirect risk is AI enabling virtual gambling, but regulatory barriers and the social experience of gaming floors limit substitution [1]. AI Opportunity (0/1): VICI itself generates no revenue from AI-related products, services, or infrastructure — the company is a pure-play real estate owner. While tenants (Caesars, MGM) are investing in AI-driven personalization, VICI does not directly monetize these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VICI Properties Q2 2026 Earnings — Revenue $1.1B (+5.7% YoY), AFFO $679.6M ($0.62/share), AFFO Guidance Raised to $2.675-$2.695/Share, Quartr, July 2026</w:t>
      </w:r>
    </w:p>
    <w:p>
      <w:pPr>
        <w:spacing w:before="20" w:after="20"/>
        <w:ind w:left="170"/>
      </w:pPr>
      <w:r>
        <w:rPr>
          <w:rFonts w:ascii="Calibri" w:hAnsi="Calibri"/>
          <w:b/>
          <w:color w:val="4A6B25"/>
          <w:sz w:val="15"/>
        </w:rPr>
        <w:t xml:space="preserve">2. </w:t>
      </w:r>
      <w:r>
        <w:rPr>
          <w:rFonts w:ascii="Calibri" w:hAnsi="Calibri"/>
          <w:b w:val="0"/>
          <w:color w:val="3A4A28"/>
          <w:sz w:val="17"/>
        </w:rPr>
        <w:t>VICI Properties Q1 2026 Earnings — Revenue $1.02B (+3.5% YoY), AFFO per Share +4.5%, 247WallSt and OpenCapital, April 2026</w:t>
      </w:r>
    </w:p>
    <w:p>
      <w:pPr>
        <w:spacing w:before="20" w:after="20"/>
        <w:ind w:left="170"/>
      </w:pPr>
      <w:r>
        <w:rPr>
          <w:rFonts w:ascii="Calibri" w:hAnsi="Calibri"/>
          <w:b/>
          <w:color w:val="4A6B25"/>
          <w:sz w:val="15"/>
        </w:rPr>
        <w:t xml:space="preserve">3. </w:t>
      </w:r>
      <w:r>
        <w:rPr>
          <w:rFonts w:ascii="Calibri" w:hAnsi="Calibri"/>
          <w:b w:val="0"/>
          <w:color w:val="3A4A28"/>
          <w:sz w:val="17"/>
        </w:rPr>
        <w:t>VICI Properties CEO Edward Pitoniak Interview — Golden Entertainment Acquisition $1.16B, Las Vegas Market Update, Five Investment Criteria, TWST, March 2026</w:t>
      </w:r>
    </w:p>
    <w:p>
      <w:pPr>
        <w:spacing w:before="20" w:after="20"/>
        <w:ind w:left="170"/>
      </w:pPr>
      <w:r>
        <w:rPr>
          <w:rFonts w:ascii="Calibri" w:hAnsi="Calibri"/>
          <w:b/>
          <w:color w:val="4A6B25"/>
          <w:sz w:val="15"/>
        </w:rPr>
        <w:t xml:space="preserve">4. </w:t>
      </w:r>
      <w:r>
        <w:rPr>
          <w:rFonts w:ascii="Calibri" w:hAnsi="Calibri"/>
          <w:b w:val="0"/>
          <w:color w:val="3A4A28"/>
          <w:sz w:val="17"/>
        </w:rPr>
        <w:t>VICI Properties 2023-2024 ESG Report — SASB/TCFD Aligned, Sustainalytics Low Risk/Strong Management, Board ESG Committee, September 2024</w:t>
      </w:r>
    </w:p>
    <w:p>
      <w:pPr>
        <w:spacing w:before="20" w:after="20"/>
        <w:ind w:left="170"/>
      </w:pPr>
      <w:r>
        <w:rPr>
          <w:rFonts w:ascii="Calibri" w:hAnsi="Calibri"/>
          <w:b/>
          <w:color w:val="4A6B25"/>
          <w:sz w:val="15"/>
        </w:rPr>
        <w:t xml:space="preserve">5. </w:t>
      </w:r>
      <w:r>
        <w:rPr>
          <w:rFonts w:ascii="Calibri" w:hAnsi="Calibri"/>
          <w:b w:val="0"/>
          <w:color w:val="3A4A28"/>
          <w:sz w:val="17"/>
        </w:rPr>
        <w:t>VICI Properties 2024 Annual Report — 28 Employees, 103 Properties, S&amp;P 500 Experiential REIT, SEC Filing, March 2025</w:t>
      </w:r>
    </w:p>
    <w:p>
      <w:pPr>
        <w:spacing w:before="20" w:after="20"/>
        <w:ind w:left="170"/>
      </w:pPr>
      <w:r>
        <w:rPr>
          <w:rFonts w:ascii="Calibri" w:hAnsi="Calibri"/>
          <w:b/>
          <w:color w:val="4A6B25"/>
          <w:sz w:val="15"/>
        </w:rPr>
        <w:t xml:space="preserve">6. </w:t>
      </w:r>
      <w:r>
        <w:rPr>
          <w:rFonts w:ascii="Calibri" w:hAnsi="Calibri"/>
          <w:b w:val="0"/>
          <w:color w:val="3A4A28"/>
          <w:sz w:val="17"/>
        </w:rPr>
        <w:t>Yahoo Finance — VICI Properties Key Statistics: Price $22.91, Forward P/E 7.66x, D/E 60.3%, ROE 9.8%, Dividend Yield 8.03%, Avg Volume 9.7M,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