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VIR</w:t>
      </w:r>
      <w:r>
        <w:rPr>
          <w:rFonts w:ascii="Calibri" w:hAnsi="Calibri"/>
          <w:b/>
          <w:color w:val="1A2010"/>
          <w:sz w:val="40"/>
        </w:rPr>
        <w:t xml:space="preserve">  Vir Biotechnology, Inc.</w:t>
      </w:r>
    </w:p>
    <w:p>
      <w:pPr>
        <w:spacing w:after="120"/>
      </w:pPr>
      <w:r>
        <w:rPr>
          <w:rFonts w:ascii="Calibri" w:hAnsi="Calibri"/>
          <w:b/>
          <w:color w:val="6E8450"/>
          <w:sz w:val="18"/>
        </w:rPr>
        <w:t>GROWTH SLEEVE · 2026-09-02 · Inspire: 31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Vir Biotechnology is a clinical-stage immunology company leveraging its proprietary AI-powered antibody discovery engine (dAIsY) and PRO-XTEN masking platform to develop potential new medicines in oncology and infectious diseases. The company gained prominence through its COVID-19 antibody sotrovimab (co-developed with GSK), which generated $1.2B in 2021 revenue before declining as COVID variants evolved. In Q2 2026, Vir reported revenue of $238.9M driven by recognition of $239.3M from its Astellas collaboration, swinging to net income of $80.1M from a $111M loss a year earlier. Cash and investments of approximately $1.01B provide multi-year runway. Market cap approximately $1.4B.</w:t>
      </w:r>
    </w:p>
    <w:p>
      <w:r>
        <w:rPr>
          <w:rFonts w:ascii="Calibri" w:hAnsi="Calibri"/>
          <w:b/>
          <w:color w:val="6E8450"/>
          <w:sz w:val="18"/>
        </w:rPr>
        <w:t>369 Employees · https://www.vir.bio</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Vir successfully developed sotrovimab for COVID-19 with GSK, demonstrating execution capability in antibody development, but the product's commercial relevance declined rapidly as viral variants emerged. The Astellas collaboration (recognized $239.3M in Q2 2026) represents a significant business development achievement but is a partnership milestone, not a new product launch [1]. AI Deployment (2/2): Vir's proprietary dAIsY (data-driven Antibody Discovery System) AI engine is actively used in drug discovery and antibody engineering, representing genuine AI deployment with measurable impact on the company's pipeline development process [2]. The PRO-XTEN masking platform combines AI-driven design with engineered antibody technology. Market Share (0/2): Vir is a small clinical-stage biotech with no marketed products generating recurring revenue; it does not hold a leadership position in any therapeutic category. Product Pipeline (1/2): Oncology pipeline includes candidates emerging from the Astellas collaboration and PRO-XTEN platform, but specific launch dates and Phase 3 data readouts with revenue visibility are not yet established. R&amp;D Intensity (1/1): R&amp;D spending consumes the vast majority of revenue — operating expenses are dominated by research, well above the biotech industry average as a percentage of total spending.</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Vir's mission of 'powering the immune system to transform lives' is clear and connects the company's scientific work to human health outcomes. It identifies a specific approach (immunology) and a meaningful aspiration (transforming lives), but it is not sufficiently distinctive from dozens of other biotech companies with similar language about leveraging the immune system [2]. Community Impact (0/2): No evidence of distinctive charitable programs, community investment, or foundation activity. Employee Retention (0/2): Headcount declined from 386 to 369 (-2.6% YoY), and the company has undergone leadership transitions including new interim financial leadership in 2026 [2]. No data on voluntary turnover or employee tenure. Insider Buying (0/2): No evidence of meaningful net insider buying by executives in the past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with several excluded due to the pre-commercial biotech profile. D/E of 13% is excellent, well below the 70% target, reflecting minimal debt against a $1.01B cash position [1]. However, ROE of -45.7% (deeply negative due to accumulated losses) scores 0, and profit margin of -83.0% (massive R&amp;D spend relative to lumpy collaboration revenue) also scores 0 [3]. Revenue growth YoY is exceptionally high (~259% based on the Astellas recognition), but this is entirely driven by a one-time collaboration milestone rather than recurring product revenue [1]. The 5-year revenue CAGR is deeply negative at approximately -27% (from the $1.2B sotrovimab peak in 2021 to ~$246M forecast for 2026), scoring 0. Forward P/E and PEG are excluded as the company is expected to report losses of -$2.16 per share for full-year 2026 [3]. The stock clears the liquidity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Vir shows elements of purpose-driven science but operates within the typical biotech framework of milestone-driven execution rather than infinite-game thinking. The company's pivot from COVID antibodies to oncology and immunology demonstrates some flexibility, and the Astellas collaboration represents a long-term bet on the platform. However, the company is too young (founded 2016) and too dependent on external validation (collaboration milestones, clinical data readouts) to demonstrate the multi-decade purpose consistency that Sinek values. Leadership transitions and headcount reductions suggest reactive rather than visionary management.</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Vir's purpose of leveraging immunology to address serious diseases is genuine and connects its scientific work to meaningful human outcomes. The pivot from COVID-19 to oncology and broader immunology reflects a commitment to the immune system platform rather than chasing a single product, suggesting the cause transcends any individual program [2]. However, the company was founded only in 2016 and has not yet demonstrated multi-decade consistency, survived a leadership crisis driven by purpose, or proven that the cause shapes capital allocation decisions during sustained losses.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With only 369 employees and recent headcount reduction (-2.6% YoY), Vir shows signs of organizational contraction rather than growth [2]. The announcement of new interim financial leadership suggests turnover at the C-suite level. No specific data on employee tenure, voluntary turnover, or cultural practices that create psychological safety. For a small biotech, leadership stability is critical, and the interim CFO appointment does not signal organizational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Vir operates in a competitive biotech landscape but has not publicly articulated how rivals' strengths inform its own improvement. The company's competitive positioning focuses on its proprietary platforms (dAIsY, PRO-XTEN) rather than learning from competitors.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Vir demonstrated meaningful flexibility by pivoting from its COVID-19 antibody program (sotrovimab) — which generated $1.2B in peak revenue — to a broader oncology and immunology platform through the Astellas collaboration [1]. This pivot required abandoning a declining but formerly lucrative product line in favor of a longer-term platform strategy. However, the pivot was driven partly by necessity (sotrovimab's declining relevance) rather than purely by a cause-driven vision, and the transformation is still in early stages.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Astellas collaboration represents a meaningful long-term bet — Vir committed significant organizational resources to a partnership that generates upfront milestone revenue ($239.3M in Q2 2026) but requires years of clinical development before product revenue materializes [1]. Maintaining $1.01B in cash while investing heavily in R&amp;D during a period of minimal product revenue shows willingness to prioritize long-term capability over short-term profitability. However, this is standard biotech operating practice rather than a distinctively courageous strategic choice.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Vir at approximately $10 per share trades at a significant discount to its $1.01B cash position (roughly $7.30/share in net cash), implying the market assigns minimal value to the oncology/immunology pipeline and proprietary AI-driven discovery platforms [1][3]. The Astellas collaboration validates the platform with $239.3M in Q2 2026 milestone recognition, and the dAIsY AI engine represents genuine differentiated technology for antibody discovery that few small biotechs possess [2]. With no debt burden (D/E 13%) and multi-year cash runway, Vir has the financial flexibility to advance its pipeline without dilutive financing in the near term. The Inspire Impact Score of 31 (ALIGNED) with eight positive attributions and no negatives makes this accessible to faith-based investors interested in healthcare innovation.</w:t>
      </w:r>
    </w:p>
    <w:p>
      <w:pPr>
        <w:spacing w:after="120"/>
      </w:pPr>
      <w:r>
        <w:rPr>
          <w:rFonts w:ascii="Calibri" w:hAnsi="Calibri"/>
          <w:b w:val="0"/>
          <w:color w:val="3A4A28"/>
          <w:sz w:val="20"/>
        </w:rPr>
        <w:t>The bear case centers on Vir's pre-commercial reality and binary clinical risk. Full-year 2026 EPS is forecast at -$2.16, and the $238.9M Q2 revenue is almost entirely one-time Astellas milestone recognition rather than recurring product sales [1][3]. The 5-year revenue trajectory is sharply negative — from $1.2B (2021 sotrovimab peak) to an estimated $246M in 2026 — and the company burns significant cash on R&amp;D with no approved products currently generating commercial revenue. The oncology pipeline is early-stage, meaning any clinical failure could erase the pipeline's implied value and push the stock toward cash value. With 369 employees and interim financial leadership, organizational stability is a concern [2]. The biotech sector is inherently binary — a successful Phase 3 readout could double the stock, while a failure could send it below net cash. Investors are buying optionality on unproven science at a modest premium to liquidation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Oncology pipeline data readouts from the Astellas collaboration and PRO-XTEN masking platform could demonstrate clinical proof-of-concept, potentially rerating the stock significantly above the current near-cash valuation [1][2]</w:t>
      </w:r>
    </w:p>
    <w:p>
      <w:pPr>
        <w:spacing w:before="40" w:after="40"/>
        <w:ind w:left="283"/>
      </w:pPr>
      <w:r>
        <w:rPr>
          <w:rFonts w:ascii="Calibri" w:hAnsi="Calibri"/>
          <w:b/>
          <w:color w:val="4A6B25"/>
          <w:sz w:val="20"/>
        </w:rPr>
        <w:t xml:space="preserve">2. </w:t>
      </w:r>
      <w:r>
        <w:rPr>
          <w:rFonts w:ascii="Calibri" w:hAnsi="Calibri"/>
          <w:b w:val="0"/>
          <w:color w:val="3A4A28"/>
          <w:sz w:val="20"/>
        </w:rPr>
        <w:t>Additional collaboration deals or licensing agreements leveraging the dAIsY AI discovery platform could generate non-dilutive milestone payments and validate the platform's value to larger pharma partners [2]</w:t>
      </w:r>
    </w:p>
    <w:p>
      <w:pPr>
        <w:spacing w:before="40" w:after="40"/>
        <w:ind w:left="283"/>
      </w:pPr>
      <w:r>
        <w:rPr>
          <w:rFonts w:ascii="Calibri" w:hAnsi="Calibri"/>
          <w:b/>
          <w:color w:val="4A6B25"/>
          <w:sz w:val="20"/>
        </w:rPr>
        <w:t xml:space="preserve">3. </w:t>
      </w:r>
      <w:r>
        <w:rPr>
          <w:rFonts w:ascii="Calibri" w:hAnsi="Calibri"/>
          <w:b w:val="0"/>
          <w:color w:val="3A4A28"/>
          <w:sz w:val="20"/>
        </w:rPr>
        <w:t>Cash position of $1.01B provides multi-year runway without dilution, and the stock trades near net cash value — creating a floor that limits downside while clinical catalysts provide upside optionality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Binary clinical risk — the oncology pipeline is early-stage with no marketed products, and a Phase 2/3 failure could eliminate the implied pipeline premium and drive the stock to or below net cash value [1]</w:t>
      </w:r>
    </w:p>
    <w:p>
      <w:pPr>
        <w:spacing w:before="40" w:after="40"/>
        <w:ind w:left="283"/>
      </w:pPr>
      <w:r>
        <w:rPr>
          <w:rFonts w:ascii="Calibri" w:hAnsi="Calibri"/>
          <w:b/>
          <w:color w:val="4A6B25"/>
          <w:sz w:val="20"/>
        </w:rPr>
        <w:t xml:space="preserve">2. </w:t>
      </w:r>
      <w:r>
        <w:rPr>
          <w:rFonts w:ascii="Calibri" w:hAnsi="Calibri"/>
          <w:b w:val="0"/>
          <w:color w:val="3A4A28"/>
          <w:sz w:val="20"/>
        </w:rPr>
        <w:t>Revenue is entirely dependent on collaboration milestones (99%+ of Q2 2026 revenue was Astellas recognition), not recurring product sales — creating extreme quarter-to-quarter volatility and no visibility into sustainable revenue generation [1]</w:t>
      </w:r>
    </w:p>
    <w:p>
      <w:pPr>
        <w:spacing w:before="40" w:after="40"/>
        <w:ind w:left="283"/>
      </w:pPr>
      <w:r>
        <w:rPr>
          <w:rFonts w:ascii="Calibri" w:hAnsi="Calibri"/>
          <w:b/>
          <w:color w:val="4A6B25"/>
          <w:sz w:val="20"/>
        </w:rPr>
        <w:t xml:space="preserve">3. </w:t>
      </w:r>
      <w:r>
        <w:rPr>
          <w:rFonts w:ascii="Calibri" w:hAnsi="Calibri"/>
          <w:b w:val="0"/>
          <w:color w:val="3A4A28"/>
          <w:sz w:val="20"/>
        </w:rPr>
        <w:t>Organizational fragility with only 369 employees, declining headcount, and interim financial leadership — a leadership vacuum or key scientist departures could derail pipeline progress at a critical development stage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Biotechnology drug development is structurally protected from AI disruption. Clinical trials, regulatory processes (FDA approvals), biological manufacturing, and patient treatment require physical-world operations and deeply regulated processes that AI cannot replace [2]. Vir's core value proposition — discovering and engineering therapeutic antibodies — involves wet-lab biology, animal studies, and human trials where AI serves as an accelerant (through dAIsY) rather than a substitute. AI cannot replace the need for novel medicines, and if anything, AI-powered drug discovery increases the value of companies with proprietary biological platforms and clinical trial expertise. No analysts have flagged AI as a substitution risk for Vir's business. AI Opportunity (0/1): While Vir deploys AI internally through its dAIsY platform for antibody discovery, this is an internal tool that enhances R&amp;D productivity rather than a revenue-generating AI product. The company does not generate quantifiable revenue from selling AI-related products or services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Vir Biotechnology Q2 2026 Earnings Release — Revenue $238.9M (vs $1.2M prior year), Net Income $80.1M, EPS $0.47, Astellas Collaboration Revenue $239.3M, Cash $1.01B — August 2026</w:t>
      </w:r>
    </w:p>
    <w:p>
      <w:pPr>
        <w:spacing w:before="20" w:after="20"/>
        <w:ind w:left="170"/>
      </w:pPr>
      <w:r>
        <w:rPr>
          <w:rFonts w:ascii="Calibri" w:hAnsi="Calibri"/>
          <w:b/>
          <w:color w:val="4A6B25"/>
          <w:sz w:val="15"/>
        </w:rPr>
        <w:t xml:space="preserve">2. </w:t>
      </w:r>
      <w:r>
        <w:rPr>
          <w:rFonts w:ascii="Calibri" w:hAnsi="Calibri"/>
          <w:b w:val="0"/>
          <w:color w:val="3A4A28"/>
          <w:sz w:val="17"/>
        </w:rPr>
        <w:t>Vir Biotechnology Leadership, AI Innovation, Pipeline — CEO Marianne De Backer, dAIsY AI Discovery Engine, PRO-XTEN Platform, BIO2026 Conference, Interim CFO Appointment — LinkedIn, TradersUnion, GuruFocus, 2026</w:t>
      </w:r>
    </w:p>
    <w:p>
      <w:pPr>
        <w:spacing w:before="20" w:after="20"/>
        <w:ind w:left="170"/>
      </w:pPr>
      <w:r>
        <w:rPr>
          <w:rFonts w:ascii="Calibri" w:hAnsi="Calibri"/>
          <w:b/>
          <w:color w:val="4A6B25"/>
          <w:sz w:val="15"/>
        </w:rPr>
        <w:t xml:space="preserve">3. </w:t>
      </w:r>
      <w:r>
        <w:rPr>
          <w:rFonts w:ascii="Calibri" w:hAnsi="Calibri"/>
          <w:b w:val="0"/>
          <w:color w:val="3A4A28"/>
          <w:sz w:val="17"/>
        </w:rPr>
        <w:t>StockAnalysis, GuruFocus, WallStreetZen — VIR Key Statistics: Stock Price $10.03, D/E 13%, ROE -45.7%, Net Margin -83.0%, 2026 EPS Forecast -$2.16,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