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VIST</w:t>
      </w:r>
      <w:r>
        <w:rPr>
          <w:rFonts w:ascii="Calibri" w:hAnsi="Calibri"/>
          <w:b/>
          <w:color w:val="1A2010"/>
          <w:sz w:val="40"/>
        </w:rPr>
        <w:t xml:space="preserve">  Vista Energy, S.A.B. de C.V.</w:t>
      </w:r>
    </w:p>
    <w:p>
      <w:pPr>
        <w:spacing w:after="120"/>
      </w:pPr>
      <w:r>
        <w:rPr>
          <w:rFonts w:ascii="Calibri" w:hAnsi="Calibri"/>
          <w:b/>
          <w:color w:val="6E8450"/>
          <w:sz w:val="18"/>
        </w:rPr>
        <w:t>GROWTH SLEEVE · 2026-09-20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Mexico</w:t>
      </w:r>
    </w:p>
    <w:p>
      <w:pPr>
        <w:spacing w:after="80"/>
      </w:pPr>
      <w:r>
        <w:rPr>
          <w:rFonts w:ascii="Calibri" w:hAnsi="Calibri"/>
          <w:b w:val="0"/>
          <w:color w:val="3A4A28"/>
          <w:sz w:val="20"/>
        </w:rPr>
        <w:t>Vista Energy is a Latin American oil and gas exploration and production company focused on the Vaca Muerta shale play in Argentina's Neuquina basin. Founded in 2017 by former YPF CEO Miguel Galuccio, Vista has rapidly scaled to 156,000 BOE/d production following the Q2 2026 closing of the $712M Equinor Vaca Muerta asset acquisition (Bandurria Sur and Bajo del Toro blocks). Q2 2026 revenue was $1.15B (+89% YoY) with 70% adjusted EBITDA margin. 2026 production guidance raised to 158,000 BOE/d. Peter Thiel's fund acquired a stake in August 2026. Market cap approximately $8.0B.</w:t>
      </w:r>
    </w:p>
    <w:p>
      <w:r>
        <w:rPr>
          <w:rFonts w:ascii="Calibri" w:hAnsi="Calibri"/>
          <w:b/>
          <w:color w:val="6E8450"/>
          <w:sz w:val="18"/>
        </w:rPr>
        <w:t>584 Employees · https://vistaenergy.com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Vista has executed one of the most remarkable growth stories in global E&amp;P — transforming from a blank-check company in 2017 to a $8B enterprise generating $1.15B in quarterly revenue within nine years [1]. The $712M Equinor acquisition closed in Q2 2026, adding the Bandurria Sur and Bajo del Toro blocks and immediately producing 89% revenue growth and 99% EBITDA growth [1][2]. Total production reached 156,000 BOE/d (+32% YoY) with oil at 135,000 BBL/d (+33%). This represents a series of successful market pivots from startup to operator to leading independent through transformative M&amp;A. AI Deployment (1/2): Vista uses advanced data analytics and real-time drilling optimization across Vaca Muerta to reduce well costs and improve recovery rates. The company operated Argentina's first electric drilling rigs and Latin America's first electric gas compression station powered by renewable energy, demonstrating technology-forward operations [3]. While not pure AI, the digital optimization across operations represents measurable efficiency gains. Market Share (2/2): Vista is the leading independent operator in Vaca Muerta — the world's most prolific shale play outside North America — and the top independent exporter, having consolidated core acreage through the Equinor deal to become the dominant non-YPF Vaca Muerta producer [1][2]. Product Pipeline (1/2): 2026 production guidance raised to 158,000 BOE/d following Equinor integration, with a long-term target of 200,000+ BOE/d by decade-end and management evaluating additional selective M&amp;A opportunities [1]. R&amp;D Intensity (0/1): E&amp;P companies typically invest below-average in formal R&amp;D as a percentage of revenue relative to technology peers. Vista's operational innovation is reflected in capex rather than separately reported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Vista's mission — 'Energy for tomorrow' — positions the company as a purpose-driven E&amp;P operator building Latin America's leading independent energy company by responsibly unlocking Vaca Muerta's world-class shale potential [3]. Galuccio's founding vision has been validated by nine years of consistent execution, the cause is specific and differentiating (not generic 'we produce oil'), and it connects the company's work to Latin American energy independence. Strategic decisions consistently trace back to this purpose. Community Impact (1/2): Vista is a major employer in Neuquen province and invests in community programs. The company aspires to net zero Scope 1 and 2 emissions by 2026, achieved 59% renewable energy share in operations (up from 38% in 2020), and is a participant in the UN Global Compact [3][4]. Employee Retention (1/2): Management team average tenure of approximately 8 years (effectively since founding) and board average tenure of 7.8 years demonstrate strong leadership retention [3]. Galuccio's reputation attracts talent from YPF and international majors. Described as entrepreneurial and agile culture. Insider Buying (0/2): Peter Thiel's hedge fund acquired a stake in August 2026, representing significant institutional conviction, but this is an external investment rather than insider buying [2]. Galuccio maintains founder equity ownership but no specific recent open-market insider purchases by executives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Vista's financial profile is exceptional for an E&amp;P company. Q2 2026 revenue of $1.15B (+89% YoY) with a 70% adjusted EBITDA margin demonstrates world-class operational leverage [1]. ROE of 29.8% significantly exceeds the 15% target. Forward P/E of 7.29 is dramatically below the 20x target and among the lowest of any high-growth E&amp;P globally [5]. Profit margin of 23.6% exceeds the 20% target. D/E of 106.5% is the only metric scoring below 1.0 (0.84), elevated by $712M Equinor acquisition financing. Revenue growth of 102.3% YoY and estimated 5yr CAGR of ~25% score at maximum. Forward PEG estimated at 0.37 (7.29 Forward P/E / 19.75% projected earnings growth) scores at maximum with 2x weight. Liquidity floor cleared: 1.02M avg volume x $72.27 = $74M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Vista Energy under founder-CEO Miguel Galuccio demonstrates meaningful infinite game characteristics — a distinctive founding purpose executed for nine years, a long-term strategic vision extending to 200,000+ BOE/d by decade-end, and proven willingness to make transformative acquisitions ($712M Equinor deal). The Q2 2026 results (89% revenue growth, 70% EBITDA margin) validate the courage of the Equinor bet. However, the company has not yet been tested through a commodity cycle downturn, and the competitive language typical of E&amp;P companies focuses on production growth and market positioning rather than infinite-game learning from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Galuccio founded Vista in 2017 with the explicit purpose of building Latin America's premier independent E&amp;P company by unlocking Vaca Muerta's world-class shale potential [3]. This cause is genuine, distinctive, and has guided every strategic decision — from the IPO through successive acquisitions to the $712M Equinor deal. Q2 2026 results (156K BOE/d, $1.15B revenue, 70% margins) validate the purpose through execution [1]. However, the cause has not yet survived a full commodity downturn or leadership transition, and oil production for profit is fundamentally commercial rather than idealistic in the Sinek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management team's approximately 8-year average tenure (since founding) and board's 7.8-year average tenure indicate stable, trusting leadership [3]. Galuccio hand-picked his team from YPF and international majors, creating organizational alignment around the Vaca Muerta vision. Recent leadership changes (Matias Weissel promoted to COO, Juan Garoby to CTO) were internal promotions suggesting succession planning [3]. Company culture described as entrepreneurial and agile, though limited public data exists on broader workforce culture beyond the 584-employee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Vista competes with YPF, Pan American Energy, and international majors for Vaca Muerta acreage and export capacity. The company's competitive language focuses on production growth, market share gains, and becoming the largest independent — framing consistent with finite-game competition. No evidence of management specifically acknowledging competitors' strengths as motivation for self-improvement in the Sinek sense.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Vista has shown strategic flexibility through its evolution from a blank-check company to Argentina's top independent shale producer, and through the transformative Equinor acquisition [1][2]. The electric drilling rigs and 59% renewable energy share signal awareness of energy transition needs. However, the core strategy has been consistently Vaca Muerta-focused since founding — the company has not yet faced a test requiring abandonment of its primary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Galuccio demonstrated a pattern of courageous long-term bets — leaving the CEO role at state-backed YPF to build an independent company from scratch in Argentina's challenging regulatory and political environment [3]. The $712M Equinor acquisition during oil price uncertainty was a major capital commitment that immediately produced 89% revenue growth and 99% EBITDA growth [1]. Pioneering electric drilling rigs and achieving 59% renewable energy in operations shows willingness to invest in capabilities without certain near-term returns. Guiding $150-200M annual FCF despite heavy capex demonstrates balance between growth investment and financial discipline. Raising 2026 production guidance to 158K BOE/d reflects confidence earned through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Vista Energy is a high-growth Vaca Muerta pure-play delivering exceptional operational and financial results — Q2 2026 revenue of $1.15B (+89% YoY), adjusted EBITDA of $805M (+99% YoY, 70% margin), and production of 156,000 BOE/d (+32% YoY) following the successful closing of the $712M Equinor asset acquisition [1][2]. At 7.29x forward P/E with 102.3% revenue growth and 29.8% ROE, Vista trades at a dramatic discount to North American shale peers despite superior growth rates and comparable margins. Forward PEG of approximately 0.37 is among the lowest of any high-growth E&amp;P globally. Peter Thiel's hedge fund acquiring a stake in August 2026 provides institutional validation [2]. The company raised 2026 production guidance to 158,000 BOE/d with a long-term target of 200,000+ BOE/d by decade-end, and the $8B market cap is supported by $4.6B+ annualized revenue run-rate [5].</w:t>
      </w:r>
    </w:p>
    <w:p>
      <w:pPr>
        <w:spacing w:after="120"/>
      </w:pPr>
      <w:r>
        <w:rPr>
          <w:rFonts w:ascii="Calibri" w:hAnsi="Calibri"/>
          <w:b w:val="0"/>
          <w:color w:val="3A4A28"/>
          <w:sz w:val="20"/>
        </w:rPr>
        <w:t>The primary risk is commodity price exposure — Vista's EBITDA and FCF are highly sensitive to oil prices, and every $5/bbl Brent decline compresses FCF by an estimated $100-150M [1]. D/E of 106.5%, while reflecting the Equinor acquisition financing, leaves limited margin for error in a sustained downturn. Argentine sovereign risk — currency controls, export taxes, and political instability under any government — creates structural uncertainty for cash repatriation and foreign investment returns, partly explaining the 7.29x forward P/E country risk discount [5]. The Equinor integration, while immediately producing revenue gains, increases operational complexity. ESG and climate transition risk are inherent to an oil-focused E&amp;P business, though Vista's 59% renewable energy share and electric drilling innovations provide partial mitigation [4]. The company's Inspire score of 0 (MIXED) with no positive or negative attributions reflects limited ESG data coverage rather than a substantive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Equinor asset integration driving production guidance increase to 158,000 BOE/d, with Q2 2026 already delivering 156,000 BOE/d and $805M EBITDA at 70% margin — continued ramp could drive further guidance upgrades [1][2]</w:t>
      </w:r>
    </w:p>
    <w:p>
      <w:pPr>
        <w:spacing w:before="40" w:after="40"/>
        <w:ind w:left="283"/>
      </w:pPr>
      <w:r>
        <w:rPr>
          <w:rFonts w:ascii="Calibri" w:hAnsi="Calibri"/>
          <w:b/>
          <w:color w:val="4A6B25"/>
          <w:sz w:val="20"/>
        </w:rPr>
        <w:t xml:space="preserve">2. </w:t>
      </w:r>
      <w:r>
        <w:rPr>
          <w:rFonts w:ascii="Calibri" w:hAnsi="Calibri"/>
          <w:b w:val="0"/>
          <w:color w:val="3A4A28"/>
          <w:sz w:val="20"/>
        </w:rPr>
        <w:t>Forward P/E of 7.29 with 102% revenue growth represents extreme value relative to North American shale peers trading at 8-12x forward P/E — potential for multiple re-rating as execution continues and Argentine country risk perceptions improve [5]</w:t>
      </w:r>
    </w:p>
    <w:p>
      <w:pPr>
        <w:spacing w:before="40" w:after="40"/>
        <w:ind w:left="283"/>
      </w:pPr>
      <w:r>
        <w:rPr>
          <w:rFonts w:ascii="Calibri" w:hAnsi="Calibri"/>
          <w:b/>
          <w:color w:val="4A6B25"/>
          <w:sz w:val="20"/>
        </w:rPr>
        <w:t xml:space="preserve">3. </w:t>
      </w:r>
      <w:r>
        <w:rPr>
          <w:rFonts w:ascii="Calibri" w:hAnsi="Calibri"/>
          <w:b w:val="0"/>
          <w:color w:val="3A4A28"/>
          <w:sz w:val="20"/>
        </w:rPr>
        <w:t>Export volume expansion and new pipeline capacity unlocking international price realizations, with Vista already the leading independent Vaca Muerta exporter and Argentina's energy export potential growing under Milei's reforms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dependency — a sustained Brent decline below $60/bbl would compress the 70% EBITDA margin and threaten free cash flow generation at 106.5% D/E leverage [1][5]</w:t>
      </w:r>
    </w:p>
    <w:p>
      <w:pPr>
        <w:spacing w:before="40" w:after="40"/>
        <w:ind w:left="283"/>
      </w:pPr>
      <w:r>
        <w:rPr>
          <w:rFonts w:ascii="Calibri" w:hAnsi="Calibri"/>
          <w:b/>
          <w:color w:val="4A6B25"/>
          <w:sz w:val="20"/>
        </w:rPr>
        <w:t xml:space="preserve">2. </w:t>
      </w:r>
      <w:r>
        <w:rPr>
          <w:rFonts w:ascii="Calibri" w:hAnsi="Calibri"/>
          <w:b w:val="0"/>
          <w:color w:val="3A4A28"/>
          <w:sz w:val="20"/>
        </w:rPr>
        <w:t>Argentine sovereign risk — currency devaluation, export tax changes, or political instability could disrupt operations, cash repatriation, and foreign investor confidence, contributing to the low 7.29x forward P/E discount [5]</w:t>
      </w:r>
    </w:p>
    <w:p>
      <w:pPr>
        <w:spacing w:before="40" w:after="40"/>
        <w:ind w:left="283"/>
      </w:pPr>
      <w:r>
        <w:rPr>
          <w:rFonts w:ascii="Calibri" w:hAnsi="Calibri"/>
          <w:b/>
          <w:color w:val="4A6B25"/>
          <w:sz w:val="20"/>
        </w:rPr>
        <w:t xml:space="preserve">3. </w:t>
      </w:r>
      <w:r>
        <w:rPr>
          <w:rFonts w:ascii="Calibri" w:hAnsi="Calibri"/>
          <w:b w:val="0"/>
          <w:color w:val="3A4A28"/>
          <w:sz w:val="20"/>
        </w:rPr>
        <w:t>Execution risk on rapid production scaling — integrating Equinor's acreage while maintaining 80-90+ annual well tie-ins demands consistent drilling performance, water management, and infrastructure buildout across the Vaca Muerta basin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Vista's core business — physical oil and gas extraction from Vaca Muerta shale — is structurally immune to AI substitution. Drilling, completion, reservoir engineering, and hydrocarbon production involve complex physical-world operations requiring geological expertise, heavy equipment, and on-the-ground execution that AI cannot replace [1]. AI's explosive growth is driving unprecedented electricity demand from data centers, which increases demand for natural gas and energy infrastructure — directly benefiting producers like Vista. The company's export pipeline infrastructure, regulatory relationships in Argentina, and physical Vaca Muerta acreage position create moats AI cannot cross [2]. AI Opportunity (0/1): Vista does not generate revenue from AI products or services. Technology is deployed internally for drilling optimization and production forecasting (cost reduction, not revenue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Vista Energy Q2 2026 Earnings Release — $1.15B revenue (+89% YoY), $805M adjusted EBITDA (+99%), 156,000 BOE/d production (+32%), 70% EBITDA margin, July 2026</w:t>
      </w:r>
    </w:p>
    <w:p>
      <w:pPr>
        <w:spacing w:before="20" w:after="20"/>
        <w:ind w:left="170"/>
      </w:pPr>
      <w:r>
        <w:rPr>
          <w:rFonts w:ascii="Calibri" w:hAnsi="Calibri"/>
          <w:b/>
          <w:color w:val="4A6B25"/>
          <w:sz w:val="15"/>
        </w:rPr>
        <w:t xml:space="preserve">2. </w:t>
      </w:r>
      <w:r>
        <w:rPr>
          <w:rFonts w:ascii="Calibri" w:hAnsi="Calibri"/>
          <w:b w:val="0"/>
          <w:color w:val="3A4A28"/>
          <w:sz w:val="17"/>
        </w:rPr>
        <w:t>Vista Energy Equinor Asset Acquisition and Peter Thiel Stake — $712M Bandurria Sur and Bajo del Toro blocks, Thiel hedge fund stake (CNBC August 2026), 2026 production guidance 158K BOE/d</w:t>
      </w:r>
    </w:p>
    <w:p>
      <w:pPr>
        <w:spacing w:before="20" w:after="20"/>
        <w:ind w:left="170"/>
      </w:pPr>
      <w:r>
        <w:rPr>
          <w:rFonts w:ascii="Calibri" w:hAnsi="Calibri"/>
          <w:b/>
          <w:color w:val="4A6B25"/>
          <w:sz w:val="15"/>
        </w:rPr>
        <w:t xml:space="preserve">3. </w:t>
      </w:r>
      <w:r>
        <w:rPr>
          <w:rFonts w:ascii="Calibri" w:hAnsi="Calibri"/>
          <w:b w:val="0"/>
          <w:color w:val="3A4A28"/>
          <w:sz w:val="17"/>
        </w:rPr>
        <w:t>Vista Energy Leadership and Culture — Miguel Galuccio founder-CEO since 2017, management team 8-year avg tenure, Matias Weissel COO, Juan Garoby CTO, 'Energy for tomorrow' mission, Simply Wall St and corporate website,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Vista Energy ESG and Sustainability — 59% renewable energy share, electric drilling rigs, net zero Scope 1&amp;2 aspiration by 2026, UN Global Compact participant, Sustainalytics Strong ESG management,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VIST Key Statistics: $72.27 price, 9.51x P/E, 7.29x forward P/E, 29.8% ROE, 106.5% D/E, $8.0B market cap,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