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VKTX</w:t>
      </w:r>
      <w:r>
        <w:rPr>
          <w:rFonts w:ascii="Calibri" w:hAnsi="Calibri"/>
          <w:b/>
          <w:color w:val="1A2010"/>
          <w:sz w:val="40"/>
        </w:rPr>
        <w:t xml:space="preserve">  Viking Therapeutics, Inc.</w:t>
      </w:r>
    </w:p>
    <w:p>
      <w:pPr>
        <w:spacing w:after="120"/>
      </w:pPr>
      <w:r>
        <w:rPr>
          <w:rFonts w:ascii="Calibri" w:hAnsi="Calibri"/>
          <w:b/>
          <w:color w:val="6E8450"/>
          <w:sz w:val="18"/>
        </w:rPr>
        <w:t>GROWTH SLEEVE · 2026-09-05 · Inspire: 25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Viking Therapeutics is a clinical-stage biopharmaceutical company focused on developing novel therapies for metabolic and endocrine disorders. The lead program VK2735, a dual GLP-1/GIP receptor agonist for obesity, has fully enrolled Phase 3 VANQUISH clinical trials with data expected in 2027, and a maintenance dosing study is fully enrolled with data expected Q3 2026 [1]. Additional programs include VK2809 (THR-beta agonist for NASH), VK3019 (dual amylin/calcitonin receptor agonist in Phase 1), and an oral VK2735 formulation advancing to Phase 3 in Q4 2026. Cash of $502M as of June 30, 2026 provides runway into 2028. Market cap ~$4.0B.</w:t>
      </w:r>
    </w:p>
    <w:p>
      <w:r>
        <w:rPr>
          <w:rFonts w:ascii="Calibri" w:hAnsi="Calibri"/>
          <w:b/>
          <w:color w:val="6E8450"/>
          <w:sz w:val="18"/>
        </w:rPr>
        <w:t>80 Employees · https://vikingtherapeutics.com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Viking has advanced VK2735 from preclinical through Phase 3 in the highly competitive obesity space, with VANQUISH-1 and VANQUISH-2 trials fully enrolled and a maintenance dosing study with data expected Q3 2026 [1][2]. The company simultaneously progressed VK2809 for NASH and initiated VK3019 Phase 1 in June 2026. Phase 2 VENTURE trial results (published in the journal Obesity, January 2026) demonstrated up to 12% weight loss with the oral formulation, driving significant market attention [3]. AI Deployment (0/2): No evidence of AI deployment in drug discovery or development; Viking relies on traditional medicinal chemistry and clinical development approaches. Market Share (0/2): Pre-revenue clinical-stage company with no approved products and zero market share; VK2735 has not yet reached the market to compete with Novo Nordisk (Wegovy/Ozempic) and Eli Lilly (Mounjaro/Zepbound) [4]. Product Pipeline (2/2): Three distinct programs with specific timelines — VK2735 subcutaneous Phase 3 fully enrolled (data 2027), VK2735 maintenance study data Q3 2026, oral formulation Phase 3 starting Q4 2026 (slightly delayed due to manufacturing scale-up), and VK3019 Phase 1 initiated June 2026 [1][2]. R&amp;D Intensity (1/1): As a pre-revenue biotech, effectively 100% of spending is R&amp;D — Q1 2026 R&amp;D expenses surged to $150.2M from $41.4M in Q1 2025, reflecting massive clinical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Viking's purpose of developing therapies for metabolic and endocrine disorders clearly identifies the therapeutic focus and patient population, but it is standard pharmaceutical language interchangeable with dozens of biotech peers and does not articulate a unique or transformative vision for the future [4]. The leadership team's stated focus on 'advancing therapies for managing obesity and metabolic diseases' is clear but not distinctive. Community Impact (0/2): No evidence of charitable programs, community investment, or philanthropic initiatives; the company's approximately 80 employees are focused entirely on clinical development. Weak ESG management per Sustainalytics' rating [5]. Employee Retention (0/2): CEO Brian Lian, Ph.D. has led the company since its founding in 2012 (14 years), providing exceptional leadership continuity, and recently appointed obesity-expert Hubert C. Chen, M.D. as CMO, but no broader employee retention data, tenure metrics, or cultural indicators are available [3]. Insider Buying (0/2): Insiders executed 12 stock sale transactions totaling $11.5M in January 2026. Director Neil Aubuchon made one purchase of 4,475 shares ($149.9K) in March 2026, but overall insiders have been net sellers in 2026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pre-revenue clinical-stage biotech, most financial metrics score at the floor or are unavailable. Viking maintains $502M in cash and short-term investments as of June 30, 2026 (down from $706M at year-end 2025), providing approximately 2+ years of runway into 2028 at the current burn rate [1][2]. The balance sheet is clean with D/E of 0% and total shareholder equity of $795.5M. Q1 2026 net loss widened to $158.3M ($1.37/share) from $45.6M ($0.41/share) in Q1 2025, driven by escalating R&amp;D as Phase 3 trials ramp. Revenue growth, forward PE, and PEG metrics are excluded as unavailable for a pre-revenue company. Profit margin and ROE are both deeply negative. The only positive metric is near-zero D/E. Liquidity floor easily cleared at ~$171M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Viking operates with genuine therapeutic purpose and has demonstrated remarkable persistence through 14 years of pre-revenue clinical development under founder-CEO Brian Lian. The strategic pivot from NASH to obesity as the primary program and the addition of VK3019 as a third modality reflect adaptive thinking. However, the company's small size, standard biotech positioning, and finite framing around 'winning' in obesity with superior clinical data limit its infinite game credentials in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Viking's purpose of developing therapies for metabolic and endocrine disorders is genuine but standard biotech language. It identifies the patient population and therapeutic area but does not articulate a distinctive vision of a future state that inspires sacrifice [4]. The company's competitive positioning is primarily about generating superior clinical data (better weight loss, fewer side effects, oral formulation convenience) rather than advancing a cause — Sinek would view this as finite framing focused on measurable outcomes rather than an infinite aspiration.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Brian Lian has led Viking since its 2012 founding, providing 14 years of leadership continuity exceptional for a clinical-stage biotech [3]. Recent leadership additions include CMO Hubert C. Chen, M.D. (obesity expert) and a new CCO, suggesting deliberate team-building as commercialization approaches. The lean team of ~80 employees likely benefits from close-knit dynamics typical of small biotechs. However, no specific evidence of employee empowerment, psychological safety, or cultural practices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Viking's competitive approach toward Novo Nordisk and Eli Lilly reflects an infinite mindset — rather than trying to beat these pharma giants with superior marketing or distribution, Viking aims to develop a differentiated product with potentially better weight loss efficacy, an oral formulation option, and a novel amylin program (VK3019) that expands the metabolic toolkit [3][4]. The company uses competitors' strengths as motivation to sharpen its own science and clinical differentiation.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Viking strategically elevated VK2735 (obesity/GLP-1) above VK2809 (NASH) as the lead program, recognizing that the obesity market opportunity was significantly larger and commercially more viable. The initiation of VK3019 (dual amylin/calcitonin) in June 2026 adds a third therapeutic modality, showing willingness to evolve beyond the GLP-1 class [2]. However, these are incremental adaptations within the same metabolic disease space, not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Brian Lian has led Viking through 14 years of pre-revenue clinical development, choosing to pursue Phase 3 trials independently against Novo Nordisk and Eli Lilly in obesity rather than licensing VK2735 to a larger pharma partner [3][4]. R&amp;D spending surged from $41.4M to $150.2M in Q1 2026, reflecting deliberate investment in pipeline advancement despite accelerating cash burn [1]. However, the company's pre-revenue status means this courage has been funded primarily through dilution rather than tested through the sacrifice of profitable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Viking Therapeutics represents an asymmetric growth opportunity in the $100B+ obesity therapeutics market with VK2735 Phase 3 VANQUISH trials fully enrolled and pivotal data expected in 2027, a maintenance dosing study data readout expected Q3 2026, and a differentiated oral formulation advancing to Phase 3 in Q4 2026 [1][2]. At ~$4.0B market cap with $502M cash, the stock trades at a significant discount to potential commercial value if VK2735 achieves comparable efficacy to Wegovy/Mounjaro with a differentiated profile. Analyst consensus of 20 analysts rates the stock 'Strong Buy' with an average price target of $92.58, implying ~170% upside [4]. The Phase 2 VENTURE data (up to 12% weight loss for oral VK2735) published in the journal Obesity provides strong validation, and the new VK3019 amylin program offers pipeline diversification beyond GLP-1 [3].</w:t>
      </w:r>
    </w:p>
    <w:p>
      <w:pPr>
        <w:spacing w:after="120"/>
      </w:pPr>
      <w:r>
        <w:rPr>
          <w:rFonts w:ascii="Calibri" w:hAnsi="Calibri"/>
          <w:b w:val="0"/>
          <w:color w:val="3A4A28"/>
          <w:sz w:val="20"/>
        </w:rPr>
        <w:t>The bear case centers on the fundamental binary risk of clinical-stage biotechs — VK2735 Phase 3 results could disappoint on efficacy, safety, or tolerability, destroying a significant portion of the market cap in a single data readout, with one analyst noting Phase 3 'feels like a coin toss' [4]. Cash burn is accelerating sharply — R&amp;D expenses surged to $150.2M in Q1 2026 from $41.4M a year earlier, and the $502M cash position (down from $706M at year-end 2025) provides only ~2 years of runway, making additional dilution likely before commercialization [1][2]. The oral VK2735 Phase 3 start was delayed to Q4 2026 from earlier guidance due to manufacturing scale-up challenges, raising execution questions [2]. Viking faces the 'David vs. Goliath' challenge of commercializing against Novo Nordisk (Wegovy: $20B+ revenue) and Eli Lilly (Zepbound) with zero existing sales infrastructure, marketing capabilities, or payer relationships — likely requiring either a pharma partnership (giving up economics) or an expensive commercial build-out. ESG management rated 'Weak' by Sustainalytics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VK2735 maintenance dosing study data expected Q3 2026, which could demonstrate durable weight loss maintenance and de-risk the Phase 3 VANQUISH readout ahead of pivotal data in 2027 [1][2]</w:t>
      </w:r>
    </w:p>
    <w:p>
      <w:pPr>
        <w:spacing w:before="40" w:after="40"/>
        <w:ind w:left="283"/>
      </w:pPr>
      <w:r>
        <w:rPr>
          <w:rFonts w:ascii="Calibri" w:hAnsi="Calibri"/>
          <w:b/>
          <w:color w:val="4A6B25"/>
          <w:sz w:val="20"/>
        </w:rPr>
        <w:t xml:space="preserve">2. </w:t>
      </w:r>
      <w:r>
        <w:rPr>
          <w:rFonts w:ascii="Calibri" w:hAnsi="Calibri"/>
          <w:b w:val="0"/>
          <w:color w:val="3A4A28"/>
          <w:sz w:val="20"/>
        </w:rPr>
        <w:t>Oral VK2735 Phase 3 trial initiation in Q4 2026, addressing the large patient population preferring pills over injections and differentiating from Novo Nordisk's injectable-dominant portfolio [2]</w:t>
      </w:r>
    </w:p>
    <w:p>
      <w:pPr>
        <w:spacing w:before="40" w:after="40"/>
        <w:ind w:left="283"/>
      </w:pPr>
      <w:r>
        <w:rPr>
          <w:rFonts w:ascii="Calibri" w:hAnsi="Calibri"/>
          <w:b/>
          <w:color w:val="4A6B25"/>
          <w:sz w:val="20"/>
        </w:rPr>
        <w:t xml:space="preserve">3. </w:t>
      </w:r>
      <w:r>
        <w:rPr>
          <w:rFonts w:ascii="Calibri" w:hAnsi="Calibri"/>
          <w:b w:val="0"/>
          <w:color w:val="3A4A28"/>
          <w:sz w:val="20"/>
        </w:rPr>
        <w:t>VK3019 (dual amylin/calcitonin receptor agonist) Phase 1 data in 2027, providing a next-generation obesity mechanism that could serve as a pipeline hedge if GLP-1 competition intensifies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risk: VK2735 VANQUISH data readout could disappoint on efficacy, safety, or tolerability, with negative results potentially destroying 50-70% of the current ~$4.0B market capitalization [4]</w:t>
      </w:r>
    </w:p>
    <w:p>
      <w:pPr>
        <w:spacing w:before="40" w:after="40"/>
        <w:ind w:left="283"/>
      </w:pPr>
      <w:r>
        <w:rPr>
          <w:rFonts w:ascii="Calibri" w:hAnsi="Calibri"/>
          <w:b/>
          <w:color w:val="4A6B25"/>
          <w:sz w:val="20"/>
        </w:rPr>
        <w:t xml:space="preserve">2. </w:t>
      </w:r>
      <w:r>
        <w:rPr>
          <w:rFonts w:ascii="Calibri" w:hAnsi="Calibri"/>
          <w:b w:val="0"/>
          <w:color w:val="3A4A28"/>
          <w:sz w:val="20"/>
        </w:rPr>
        <w:t>Cash burn accelerating dramatically ($150.2M R&amp;D in Q1 alone, cash declining from $706M to $502M in 6 months) implies additional capital raises before commercialization, diluting existing shareholders at unknown valuation [1][2]</w:t>
      </w:r>
    </w:p>
    <w:p>
      <w:pPr>
        <w:spacing w:before="40" w:after="40"/>
        <w:ind w:left="283"/>
      </w:pPr>
      <w:r>
        <w:rPr>
          <w:rFonts w:ascii="Calibri" w:hAnsi="Calibri"/>
          <w:b/>
          <w:color w:val="4A6B25"/>
          <w:sz w:val="20"/>
        </w:rPr>
        <w:t xml:space="preserve">3. </w:t>
      </w:r>
      <w:r>
        <w:rPr>
          <w:rFonts w:ascii="Calibri" w:hAnsi="Calibri"/>
          <w:b w:val="0"/>
          <w:color w:val="3A4A28"/>
          <w:sz w:val="20"/>
        </w:rPr>
        <w:t>Commercialization gap: Viking has zero sales infrastructure, marketing capabilities, or payer relationships to compete against Novo Nordisk and Eli Lilly, likely requiring a pharma partnership (giving up economics) or expensive commercial build-out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Clinical-stage drug development has deep structural protection from AI disruption. VK2735's clinical trial data is proprietary, the biological mechanism of GLP-1/GIP receptor agonism involves complex molecular biology that AI cannot replicate, and FDA regulatory approval requires years of human-subject clinical evidence that AI cannot shortcut [4]. Manufacturing and distributing injectable therapeutics is inherently physical and non-digitizable. However, AI is accelerating competitor drug discovery timelines — Novo Nordisk and Eli Lilly with larger AI-integrated R&amp;D platforms could discover next-generation obesity drugs faster, potentially compressing Viking's competitive window before it can commercialize VK2735 [4]. AI Opportunity (0/1): Viking does not use AI for drug discovery as a core strategy and generates no AI-related revenue. The company relies on traditional medicinal chemistry and clinical development approaches.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Viking Therapeutics Q1 2026 Financial Results — Net Loss $158.3M, R&amp;D $150.2M, Cash $603M (Q1-end) declining to $502M (June 30), Maintenance Study Fully Enrolled — PR Newswire, May 2026</w:t>
      </w:r>
    </w:p>
    <w:p>
      <w:pPr>
        <w:spacing w:before="20" w:after="20"/>
        <w:ind w:left="170"/>
      </w:pPr>
      <w:r>
        <w:rPr>
          <w:rFonts w:ascii="Calibri" w:hAnsi="Calibri"/>
          <w:b/>
          <w:color w:val="4A6B25"/>
          <w:sz w:val="15"/>
        </w:rPr>
        <w:t xml:space="preserve">2. </w:t>
      </w:r>
      <w:r>
        <w:rPr>
          <w:rFonts w:ascii="Calibri" w:hAnsi="Calibri"/>
          <w:b w:val="0"/>
          <w:color w:val="3A4A28"/>
          <w:sz w:val="17"/>
        </w:rPr>
        <w:t>Viking Therapeutics Q2 2026 Financial Results and Corporate Update — Cash $502M, Oral Phase 3 Timing Q4 2026, VK3019 Phase 1 Advancing — PR 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Viking Therapeutics Phase 2 VENTURE Trial Results Published in Journal Obesity — Oral VK2735 Up to 12% Weight Loss, CMO Appointment — January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CNN Markets, Seeking Alpha — VKTX Stock Price $34.28, Market Cap $4.0B, D/E 0%, Cash $502M, Analyst Consensus Strong Buy ($92.58 PT),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Sustainalytics — Viking Therapeutics ESG Risk Rating: Weak Management of ESG Material Risk,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