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VNOM</w:t>
      </w:r>
      <w:r>
        <w:rPr>
          <w:rFonts w:ascii="Calibri" w:hAnsi="Calibri"/>
          <w:b/>
          <w:color w:val="1A2010"/>
          <w:sz w:val="40"/>
        </w:rPr>
        <w:t xml:space="preserve">  Viper Energy, Inc.</w:t>
      </w:r>
    </w:p>
    <w:p>
      <w:pPr>
        <w:spacing w:after="120"/>
      </w:pPr>
      <w:r>
        <w:rPr>
          <w:rFonts w:ascii="Calibri" w:hAnsi="Calibri"/>
          <w:b/>
          <w:color w:val="6E8450"/>
          <w:sz w:val="18"/>
        </w:rPr>
        <w:t>DIVIDEND SLEEVE · 2026-09-03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NASDAQ · United States</w:t>
      </w:r>
    </w:p>
    <w:p>
      <w:pPr>
        <w:spacing w:after="80"/>
      </w:pPr>
      <w:r>
        <w:rPr>
          <w:rFonts w:ascii="Calibri" w:hAnsi="Calibri"/>
          <w:b w:val="0"/>
          <w:color w:val="3A4A28"/>
          <w:sz w:val="20"/>
        </w:rPr>
        <w:t>Viper Energy is the largest publicly traded mineral and royalty interest owner in the Permian Basin, operating as a subsidiary of Diamondback Energy. The company owns mineral and royalty interests across approximately 35,000+ net royalty acres and generates revenue from oil, natural gas, and NGL production on its acreage without bearing drilling or operating costs. Q2 2026 revenue reached $677M (+128% YoY) with adjusted EBITDA of $642M. The Board approved a 32% base dividend increase to $2.00 per Class A share annually in Q3 2026. CEO Kaes Van't Hof succeeded Travis Stice in February 2025 and also serves as a top executive at Diamondback Energy. Viper has zero employees — all operations are conducted through Diamondback. Market cap is approximately $8.5B.</w:t>
      </w:r>
    </w:p>
    <w:p>
      <w:r>
        <w:rPr>
          <w:rFonts w:ascii="Calibri" w:hAnsi="Calibri"/>
          <w:b/>
          <w:color w:val="6E8450"/>
          <w:sz w:val="18"/>
        </w:rPr>
        <w:t>https://www.viperenergy.com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Viper completed the transformative Riverbend mineral acquisition, significantly expanding its Permian Basin royalty acreage and driving 128% YoY revenue growth in Q2 2026 [1]. This acquisition represents strong capital allocation execution, though it is an M&amp;A-driven expansion rather than a product innovation or business model transformation. AI Deployment (0/2): No AI-powered products or quantified AI-driven savings; as a royalty company with zero employees, Viper does not develop or deploy technology internally. Market Share (2/2): Viper is the largest publicly traded mineral and royalty interest owner in the Permian Basin, holding a dominant position in a highly fragmented market [2]. The combination of scale, Diamondback alignment (its largest operator), and concentrated acreage creates a structural advantage in mineral acquisition. Product Pipeline (0/2): Mineral royalty companies do not develop traditional products; future revenue depends on Diamondback's drilling activity on Viper's acreage and opportunistic mineral acquisitions, neither of which constitutes a named product pipeline with specific timelines. R&amp;D Intensity (0/1): Viper conducts no R&amp;D; the company's value creation is entirely through capital allocation (mineral acquisitions) and production volume growth on existing acreage.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Viper's stated purpose is to maximize shareholder returns through mineral royalty ownership and a '100% Return Model' that distributes nearly all available cash to shareholders [2]. This is a financial objective, not a mission that connects the company's work to a larger purpose or inspires stakeholders beyond financial returns. It is interchangeable with any capital-return-focused E&amp;P company. Community Impact (0/2): No evidence of charitable programs, foundation activity, or community investment was identified; as a company with zero employees operating through Diamondback, community engagement is conducted at the parent-company level. Employee Retention (0/2): Viper has zero employees — all operations are conducted through Diamondback Energy — making employee retention assessment impossible at the entity level [2]. Insider Buying (0/2): No evidence of meaningful net insider buying was identified in search results; CEO Van't Hof's dual role at Diamondback complicates insider transaction analysis at the Viper entity level.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(Dividend stock). Viper's strongest metrics are balance sheet leverage with D/E of 33.33% well below the 70% target (full marks), Forward P/E of 15.39 below the 20x target (full marks), revenue growth YoY of 128% (full marks, though acquisition-driven), and dividend track record with 11 consecutive years paid (2x weight, full marks) and 5-year dividend growth CAGR of 26.9% (2x weight, full marks) [3]. The primary drags are ROE of only 1.37% (score 0.091 against the 15% target), reflecting non-cash depletion charges on acquired mineral assets that depress GAAP net income; profit margin of 5.05% (score 0.253); payout ratio of 132% exceeding the 100% floor (score 0.0 on GAAP basis, though cash distribution coverage is strong); and estimated consecutive years of dividend growth of approximately 4 years (score 0.4) given the variable dividend model [4]. The stock clears the liquidity floor with approximately $78M in daily traded value ($43.55 x 1.8M average daily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Viper Energy is a purpose-built financial vehicle designed to maximize shareholder returns through mineral royalty ownership and capital distribution. Under Sinek's framework, this is the definition of a finite game — the company exists to extract and distribute financial value, not to advance a cause that transcends its operations. With zero employees, no articulated mission beyond returns, and a governance structure subordinate to parent Diamondback Energy, Viper lacks the organizational characteristics (trusting teams, just cause, worthy rivals) that define infinite-game players. The company is excellent at what it does, but what it does is play a finite game extremely well.</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Viper's purpose is explicitly financial — the '100% Return Model' aims to return nearly all available cash to shareholders through dividends and buybacks [2]. CEO Van't Hof describes the base dividend as 'sacrosanct' and prioritizes 'steady growth of this base dividend over time.' While this is excellent capital allocation, it is not a Just Cause in Sinek's framework — it does not describe a future state so appealing that people will sacrifice to advance it. The company exists to generate returns, not to build a better future.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Viper Energy has zero employees — all operations are conducted through Diamondback Energy [2]. This structural reality makes the Trusting Teams dimension essentially unevaluable at the entity level. There is no Circle of Safety to build because there are no people inside the circle. While Diamondback's operational workforce may have strong team dynamics, those are Diamondback's characteristics, not Viper's.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Viper management acknowledging competitors' strengths or framing competition as motivation for self-improvement. As a mineral royalty company, Viper competes primarily for mineral acquisition opportunities against private equity firms and other royalty companies, but this competition is purely transactional (who can pay the highest price for acreage) rather than the kind of capability-driven rivalry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Viper has demonstrated structural flexibility by converting from an MLP (partnership) to a C-corp structure and expanding through the transformative Riverbend acquisition that more than doubled its royalty acreage [2]. These represent meaningful corporate evolution. However, the core business model (own minerals, collect royalties) has not changed since inception, and the structural pivots were driven by capital market optimization (C-corp access to broader investor base) rather than purpose-driven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Riverbend acquisition represented a bold capital deployment that significantly expanded Viper's mineral position and required taking on debt to fund a large acquisition in a volatile commodity market [1]. The 32% base dividend increase in Q3 2026 demonstrates confidence in the business's sustainability. However, these decisions are fundamentally financial optimization — deploying capital for returns — rather than the kind of principled, potentially costly long-term bets that Sinek celebrates.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Viper Energy at 15.39x forward earnings offers a 5.63% dividend yield backed by the highest-quality mineral royalty position in the Permian Basin — the lowest-cost oil-producing region in the United States. Q2 2026 revenue surged 128% YoY to $677M with adjusted EBITDA of $642M (94.8% margin), demonstrating the capital efficiency of the royalty model that bears zero drilling, completion, or operating costs [1]. The 32% base dividend increase to $2.00 per share signals management's confidence in sustainable cash generation, and the 5-year dividend growth CAGR of 26.9% places Viper in the top quartile of energy dividend growers [4]. CEO Van't Hof's dual role at Diamondback ensures alignment between the operator developing Viper's acreage and the royalty owner collecting payments. D/E of only 33.33% provides balance sheet flexibility for opportunistic mineral acquisitions. The Inspire Impact Score of 39 (ALIGNED) makes Viper one of the few energy companies accessible to faith-based investors.</w:t>
      </w:r>
    </w:p>
    <w:p>
      <w:pPr>
        <w:spacing w:after="120"/>
      </w:pPr>
      <w:r>
        <w:rPr>
          <w:rFonts w:ascii="Calibri" w:hAnsi="Calibri"/>
          <w:b w:val="0"/>
          <w:color w:val="3A4A28"/>
          <w:sz w:val="20"/>
        </w:rPr>
        <w:t>The bear case centers on commodity price risk, GAAP profitability distortion, and governance structure. Viper's revenue and distributions are directly tied to oil and natural gas prices — a sustained decline in WTI below $60/barrel would compress royalty payments and potentially force dividend cuts despite the 'sacrosanct' base commitment. GAAP financials are misleading: ROE of only 1.37% and net margin of 5.05% reflect massive non-cash depletion, depreciation, and amortization charges on acquired mineral assets, not operational weakness, but the GAAP payout ratio of 132% exceeds earnings, which is mechanically unsustainable if depletable reserves are not replaced [3]. The 128% revenue growth is entirely acquisition-driven (Riverbend) and will normalize to mid-single-digit organic production growth. Viper's governance structure as a Diamondback subsidiary creates conflicts of interest — Van't Hof serves both entities, and Diamondback's drilling decisions on Viper acreage directly impact Viper's revenue without Viper's independent control. Increased ESG and environmental regulatory scrutiny of oil production in Texas and New Mexico (induced seismicity, water disposal) could slow drilling activity on Viper's land.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Permian Basin production growth on Viper's concentrated royalty acreage, with mid-single-digit organic production growth guided for 2026 (Q1: 62,500-64,500 bo/d, full year: 61,000-67,000 bo/d) driven by Diamondback's development program [1]</w:t>
      </w:r>
    </w:p>
    <w:p>
      <w:pPr>
        <w:spacing w:before="40" w:after="40"/>
        <w:ind w:left="283"/>
      </w:pPr>
      <w:r>
        <w:rPr>
          <w:rFonts w:ascii="Calibri" w:hAnsi="Calibri"/>
          <w:b/>
          <w:color w:val="4A6B25"/>
          <w:sz w:val="20"/>
        </w:rPr>
        <w:t xml:space="preserve">2. </w:t>
      </w:r>
      <w:r>
        <w:rPr>
          <w:rFonts w:ascii="Calibri" w:hAnsi="Calibri"/>
          <w:b w:val="0"/>
          <w:color w:val="3A4A28"/>
          <w:sz w:val="20"/>
        </w:rPr>
        <w:t>Additional accretive mineral acquisitions leveraging Viper's scale, Diamondback alignment, and data-driven evaluation capabilities to expand the royalty acreage position in the Permian Basin at attractive returns [2]</w:t>
      </w:r>
    </w:p>
    <w:p>
      <w:pPr>
        <w:spacing w:before="40" w:after="40"/>
        <w:ind w:left="283"/>
      </w:pPr>
      <w:r>
        <w:rPr>
          <w:rFonts w:ascii="Calibri" w:hAnsi="Calibri"/>
          <w:b/>
          <w:color w:val="4A6B25"/>
          <w:sz w:val="20"/>
        </w:rPr>
        <w:t xml:space="preserve">3. </w:t>
      </w:r>
      <w:r>
        <w:rPr>
          <w:rFonts w:ascii="Calibri" w:hAnsi="Calibri"/>
          <w:b w:val="0"/>
          <w:color w:val="3A4A28"/>
          <w:sz w:val="20"/>
        </w:rPr>
        <w:t>AI-driven electricity demand growth increasing natural gas consumption for data center power, supporting sustained production volumes and commodity prices on Viper's acreage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risk: Viper's revenue and distributions are directly linked to oil and natural gas prices, and a sustained WTI decline below $60/barrel could compress royalty payments and force dividend reductions despite management's commitment to growing the base dividend [1]</w:t>
      </w:r>
    </w:p>
    <w:p>
      <w:pPr>
        <w:spacing w:before="40" w:after="40"/>
        <w:ind w:left="283"/>
      </w:pPr>
      <w:r>
        <w:rPr>
          <w:rFonts w:ascii="Calibri" w:hAnsi="Calibri"/>
          <w:b/>
          <w:color w:val="4A6B25"/>
          <w:sz w:val="20"/>
        </w:rPr>
        <w:t xml:space="preserve">2. </w:t>
      </w:r>
      <w:r>
        <w:rPr>
          <w:rFonts w:ascii="Calibri" w:hAnsi="Calibri"/>
          <w:b w:val="0"/>
          <w:color w:val="3A4A28"/>
          <w:sz w:val="20"/>
        </w:rPr>
        <w:t>Governance conflict of interest: CEO Van't Hof's dual role at Viper and Diamondback creates structural conflicts where Diamondback's drilling and capital allocation decisions directly impact Viper's revenue without Viper having independent operational control [2]</w:t>
      </w:r>
    </w:p>
    <w:p>
      <w:pPr>
        <w:spacing w:before="40" w:after="40"/>
        <w:ind w:left="283"/>
      </w:pPr>
      <w:r>
        <w:rPr>
          <w:rFonts w:ascii="Calibri" w:hAnsi="Calibri"/>
          <w:b/>
          <w:color w:val="4A6B25"/>
          <w:sz w:val="20"/>
        </w:rPr>
        <w:t xml:space="preserve">3. </w:t>
      </w:r>
      <w:r>
        <w:rPr>
          <w:rFonts w:ascii="Calibri" w:hAnsi="Calibri"/>
          <w:b w:val="0"/>
          <w:color w:val="3A4A28"/>
          <w:sz w:val="20"/>
        </w:rPr>
        <w:t>Depleting asset base: mineral royalty interests are inherently finite — reserves deplete over time, and the GAAP payout ratio of 132% exceeds reported earnings, requiring continuous mineral acquisitions or new well development to sustain production and dividends long-term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Viper's business model — owning subsurface mineral rights and receiving royalty payments based on oil and gas production — is structurally immune to AI disruption [2]. AI cannot replace physical hydrocarbon extraction, and mineral rights represent a legal claim on underground resources that no software can replicate or displace. The royalty model is even more protected than operating E&amp;P companies because Viper bears no drilling, completion, or operating costs — it simply collects payments when production occurs on its acreage. Furthermore, AI is a net positive for energy demand: data center power consumption is growing rapidly, and natural gas is a primary fuel source for electricity generation powering AI infrastructure, increasing demand for the hydrocarbons produced on Viper's acreage. AI Opportunity (0/1): Viper does not generate revenue from AI products or services; the company has zero employees and no technology development capability at the entity level.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Viper Energy Q2 2026 Earnings — Revenue $677M (+128% YoY), adjusted EBITDA $642M, EPS $0.76, 32% base dividend increase to $2.00/share, production guidance 61,000-67,000 bo/d — SEC 8-K,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Viper Energy Strategy and Leadership — CEO Kaes Van't Hof, 100% Return Model, Riverbend acquisition, largest Permian mineral royalty owner, 0 employees, dual-hat governance — FinancialContent, VipeEnergy.com,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Viper Energy Financial Data — Forward P/E 15.39, D/E 33.33%, ROE 1.37%, net margin 5.05%, payout ratio 132.12%, market cap $8.5B — StockAnalysis, GuruFocus, Yahoo Finance,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Viper Energy Dividend Data — Yield 5.63%, 11 consecutive years paid, 5-year growth CAGR 26.9%, base dividend $2.00/share — StockAnalysis, StockEvents, Dividend.com,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