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VOYA</w:t>
      </w:r>
      <w:r>
        <w:rPr>
          <w:rFonts w:ascii="Calibri" w:hAnsi="Calibri"/>
          <w:b/>
          <w:color w:val="1A2010"/>
          <w:sz w:val="40"/>
        </w:rPr>
        <w:t xml:space="preserve">  Voya Financial, Inc.</w:t>
      </w:r>
    </w:p>
    <w:p>
      <w:pPr>
        <w:spacing w:after="120"/>
      </w:pPr>
      <w:r>
        <w:rPr>
          <w:rFonts w:ascii="Calibri" w:hAnsi="Calibri"/>
          <w:b/>
          <w:color w:val="6E8450"/>
          <w:sz w:val="18"/>
        </w:rPr>
        <w:t>GROWTH SLEEVE · 2026-10-01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Financial Conglomerates · NYSE · United States</w:t>
      </w:r>
    </w:p>
    <w:p>
      <w:pPr>
        <w:spacing w:after="80"/>
      </w:pPr>
      <w:r>
        <w:rPr>
          <w:rFonts w:ascii="Calibri" w:hAnsi="Calibri"/>
          <w:b w:val="0"/>
          <w:color w:val="3A4A28"/>
          <w:sz w:val="20"/>
        </w:rPr>
        <w:t>Voya Financial provides workplace benefits, savings solutions, and investment management through three segments: Retirement, Investment Management, and Employee Benefits. The company offers full-service retirement products, recordkeeping, stable value products, wealth management, stop loss and group insurance, and fixed income/equity/multi-asset investment solutions. Formerly ING U.S., Voya completed the transformative OneAmerica acquisition in 2024, boosting TTM revenues to approximately $8.2B. Founded in 1975 and headquartered in New York.</w:t>
      </w:r>
    </w:p>
    <w:p>
      <w:r>
        <w:rPr>
          <w:rFonts w:ascii="Calibri" w:hAnsi="Calibri"/>
          <w:b/>
          <w:color w:val="6E8450"/>
          <w:sz w:val="18"/>
        </w:rPr>
        <w:t>11,000 Employees · https://www.voya.com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OneAmerica Financial Partners acquisition significantly expanded Voya's retirement business, adding spread-based and fee-based revenues that drove TTM net revenue growth of 10% through June 2026 [1]. However, this is acquisition-driven growth, not organic product innovation — no transformative new business model or product category has emerged in the last five years. AI Deployment (1/2): Voya launched a company-wide AI innovation competition generating nearly 300 employee-developed solutions and is deploying AI across retirement operations, customer service, and employee productivity as the company transitions from experimentation to organization-wide deployment [2]. These produce measurable operational efficiencies but are not AI products sold to external customers. Market Share (1/2): Voya is a meaningful player in the U.S. retirement plan market, ranking among the top defined contribution recordkeepers, but is not a category leader — trailing Fidelity, Empower, and Vanguard in total assets under administration [1]. Product Pipeline (1/2): Expansion of health account solutions, financial wellness tools, and wealth management capabilities through the OneAmerica integration provide near-term growth visibility, though timelines remain general rather than specific product launches [1]. R&amp;D Intensity (0/1): No evidence of above-average technology spending relative to financial services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Voya's purpose — 'Clearing your path to financial confidence and a more fulfilling life' — is clear and identifies the company's role in helping Americans achieve retirement security, but it is not distinctive enough to differentiate Voya from any other financial services firm pursuing similar goals [3]. Community Impact (1/2): Voya maintains ESG commitments organized around four pillars — Empowering People, Serving Clients, Investing in Communities, and Protecting the Environment — and became a PRI signatory, but specific dollar amounts for charitable giving or community investment programs are not publicly quantified [3]. Employee Retention (0/2): Glassdoor ratings of 3.7/5 and only 57% CEO approval reflect mixed employee sentiment, with reviews citing post-acquisition layoffs, mishandled workforce transitions, and concerns about management filling C-suite positions with personal acquaintances [2]. No specific retention or tenure data is available. Insider Buying (0/2): Insider transactions over the past 12 months show consistent net selling by executives — CTO Keshavan sold $3.49M in shares in August 2026, and officers Ogle and Oh conducted multiple sales throughout 2026, with no meaningful insider purchases identified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Voya's balance sheet is a standout with D/E of 68.9%, just below the 70% target (score 1.0) [4]. Forward P/E of 8.32 is deeply discounted, well below the 20 target (score 1.0), reflecting market skepticism about earnings sustainability post-OneAmerica integration. ROE of 9.6% is below the 15% target but positive (score 0.64, 2x weight). Revenue declined 4.3% in the most recent quarter (score 0.52) but the estimated 5-year CAGR of approximately 8% driven by organic growth and the OneAmerica acquisition approaches the 10% target (score 0.87, 2x weight) [1]. Profit margin of 7.5% is structurally lower than non-financial companies due to premium and investment income pass-throughs (score 0.37). Forward PEG unavailable and excluded from calculation. Daily dollar volume of ~$98M provides ample liquidity, well above the $1M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Voya's transformation from ING U.S. to an independent public company and the subsequent OneAmerica acquisition demonstrate strategic evolution, but the company's identity remains primarily transactional — focused on scale, efficiency, and earnings growth rather than an enduring purpose. Mixed employee sentiment, consistent insider selling, and a purpose statement that does not clearly differentiate from peers suggest a company playing the finite game of quarterly earnings optimization while attempting to build long-term institutional scale.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Voya's purpose of 'clearing your path to financial confidence and a more fulfilling life' connects the company's work to Americans' retirement security — a genuine and important societal need [3]. The four-pillar ESG framework and PRI signatory status show some purpose beyond profit. However, the purpose has not been tested through multi-decade consistency (Voya only became independent in 2014), and strategic decisions appear primarily driven by scale economics rather than purpose alignment — the OneAmerica acquisition was framed around revenue synergies, not mission advancement.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Voya's 11,000-person workforce operates under CEO Heather Lavallee's leadership, but Glassdoor reviews reveal trust concerns — only 57% CEO approval, complaints about post-acquisition layoffs being 'mishandled without compassion,' and criticism that new leadership filled C-suite roles with personal acquaintances [2]. The AI innovation competition generating 300 employee solutions suggests some empowerment and grassroots engagement, but the overall culture picture is mixed at best.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Voya's competitive language focuses on its own market positioning and organic growth metrics rather than learning from competitors' strengths [1]. The OneAmerica acquisition was framed as gaining competitive scale — a finite-game move to get bigger — rather than a learning-oriented response to competitive dynamics with Fidelity, Empower, or Principal Financial.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2013-2014 spin-off from ING Group represented genuine strategic transformation — Voya rebuilt itself as an independent U.S.-focused retirement and benefits company from a European insurance conglomerate subsidiary, subsequently divesting the annuity business to focus on fee-based and spread-based revenues [1]. However, since then, the company has pursued incremental growth through acquisitions rather than transformative reinvention, and no fundamental business model evolution has occurred in the past five years.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acquire OneAmerica Financial Partners was a significant capital allocation bet that temporarily compressed earnings — Q2 2026 retirement earnings fell to $190M from $235M — while building long-term scale and capabilities [1]. CEO Lavallee's company-wide AI deployment initiative, moving beyond experimentation to organization-wide adoption, shows willingness to invest in transformation [2]. However, the acquisition-driven strategy appears primarily defensive rather than visionary, and persistent workforce reductions suggest near-term optimization over long-term organizational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Voya Financial at 8.3x forward earnings with a $8.6B market cap offers deep value in a structurally growing workplace benefits market, with the OneAmerica integration driving TTM net revenue growth of 10% and adding significant retirement plan scale [1]. Q1 2026 after-tax adjusted operating earnings rose 13% to $2.26 per share, beating consensus, and the company's organization-wide AI deployment — including 300 employee-developed AI solutions — positions Voya to extract efficiency gains as the combined business scales [2]. D/E of 68.9% is well-managed, free cash flow of $1.4B provides capital return flexibility, and the forward P/E discount to the S&amp;P 500 suggests meaningful upside if the OneAmerica integration delivers on synergy targets [4].</w:t>
      </w:r>
    </w:p>
    <w:p>
      <w:pPr>
        <w:spacing w:after="120"/>
      </w:pPr>
      <w:r>
        <w:rPr>
          <w:rFonts w:ascii="Calibri" w:hAnsi="Calibri"/>
          <w:b w:val="0"/>
          <w:color w:val="3A4A28"/>
          <w:sz w:val="20"/>
        </w:rPr>
        <w:t>The bear case centers on integration execution risk, structural margin pressure, and cultural dysfunction. Q2 2026 retirement segment earnings fell 24% to $190M from $235M year-over-year, and total revenues declined $85M as lower net investment income offset fee growth [1]. Profit margin of 7.5% is thin and ROE of 9.6% sits well below the 15% target for growth companies. The -41.6% trailing earnings decline reflects acquisition-related charges and investment losses in consolidated entities. Insider selling is persistent — CTO Keshavan sold $3.49M in shares in August 2026, with multiple other officers conducting sales and no meaningful insider buying [4]. Glassdoor ratings of 3.7/5 with only 57% CEO approval, combined with complaints of post-acquisition layoffs and nepotistic hiring, suggest cultural challenges that could impair talent retention during the critical integration period [2]. The 1.99% dividend yield is insufficient to compensate for the execution risk inherent in a complex financial services integration.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OneAmerica integration delivering expense synergies and driving TTM revenue growth of 10% as acquired spread- and fee-based revenues fully contribute across the retirement and benefits platform [1]</w:t>
      </w:r>
    </w:p>
    <w:p>
      <w:pPr>
        <w:spacing w:before="40" w:after="40"/>
        <w:ind w:left="283"/>
      </w:pPr>
      <w:r>
        <w:rPr>
          <w:rFonts w:ascii="Calibri" w:hAnsi="Calibri"/>
          <w:b/>
          <w:color w:val="4A6B25"/>
          <w:sz w:val="20"/>
        </w:rPr>
        <w:t xml:space="preserve">2. </w:t>
      </w:r>
      <w:r>
        <w:rPr>
          <w:rFonts w:ascii="Calibri" w:hAnsi="Calibri"/>
          <w:b w:val="0"/>
          <w:color w:val="3A4A28"/>
          <w:sz w:val="20"/>
        </w:rPr>
        <w:t>Company-wide AI deployment with 300 employee-developed solutions transitioning from experimentation to production, potentially driving meaningful operational efficiency gains across retirement recordkeeping and benefits administration [2]</w:t>
      </w:r>
    </w:p>
    <w:p>
      <w:pPr>
        <w:spacing w:before="40" w:after="40"/>
        <w:ind w:left="283"/>
      </w:pPr>
      <w:r>
        <w:rPr>
          <w:rFonts w:ascii="Calibri" w:hAnsi="Calibri"/>
          <w:b/>
          <w:color w:val="4A6B25"/>
          <w:sz w:val="20"/>
        </w:rPr>
        <w:t xml:space="preserve">3. </w:t>
      </w:r>
      <w:r>
        <w:rPr>
          <w:rFonts w:ascii="Calibri" w:hAnsi="Calibri"/>
          <w:b w:val="0"/>
          <w:color w:val="3A4A28"/>
          <w:sz w:val="20"/>
        </w:rPr>
        <w:t>Forward P/E of 8.3x represents significant discount to financial services peers — successful integration execution and earnings normalization could drive multiple expansion toward the 12-15x range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OneAmerica integration execution risk — Q2 2026 retirement earnings declined 24% YoY to $190M, and if synergy targets are missed, the acquisition premium may not be recovered against the compressed earnings base [1]</w:t>
      </w:r>
    </w:p>
    <w:p>
      <w:pPr>
        <w:spacing w:before="40" w:after="40"/>
        <w:ind w:left="283"/>
      </w:pPr>
      <w:r>
        <w:rPr>
          <w:rFonts w:ascii="Calibri" w:hAnsi="Calibri"/>
          <w:b/>
          <w:color w:val="4A6B25"/>
          <w:sz w:val="20"/>
        </w:rPr>
        <w:t xml:space="preserve">2. </w:t>
      </w:r>
      <w:r>
        <w:rPr>
          <w:rFonts w:ascii="Calibri" w:hAnsi="Calibri"/>
          <w:b w:val="0"/>
          <w:color w:val="3A4A28"/>
          <w:sz w:val="20"/>
        </w:rPr>
        <w:t>Persistent insider selling by multiple executives (CTO $3.49M, multiple officers) with no meaningful insider buying suggests limited management conviction in the near-term outlook despite the low valuation [4]</w:t>
      </w:r>
    </w:p>
    <w:p>
      <w:pPr>
        <w:spacing w:before="40" w:after="40"/>
        <w:ind w:left="283"/>
      </w:pPr>
      <w:r>
        <w:rPr>
          <w:rFonts w:ascii="Calibri" w:hAnsi="Calibri"/>
          <w:b/>
          <w:color w:val="4A6B25"/>
          <w:sz w:val="20"/>
        </w:rPr>
        <w:t xml:space="preserve">3. </w:t>
      </w:r>
      <w:r>
        <w:rPr>
          <w:rFonts w:ascii="Calibri" w:hAnsi="Calibri"/>
          <w:b w:val="0"/>
          <w:color w:val="3A4A28"/>
          <w:sz w:val="20"/>
        </w:rPr>
        <w:t>Competitive intensity in the retirement plan market from Fidelity, Empower, and Vanguard with greater scale, brand recognition, and technology investment could pressure Voya's organic growth rates and fee pricing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Voya's core businesses — retirement plan recordkeeping, employer-sponsored benefits administration, and institutional investment management — operate in heavily regulated, relationship-driven markets with high switching costs and complex employer integrations that create structural moats against AI displacement [2]. However, Voya's own 10-K acknowledges that AI poses disruptive risk if the company cannot adapt, and basic investment advisory, claims processing, and routine customer service functions face meaningful AI automation pressure from fintech competitors. The employer plan distribution model and ERISA regulatory compliance requirements provide substantial protection for the core business. AI Opportunity (1/1): Voya generates revenue from AI-driven investment products through its Machine Intelligence platform, offering AI-driven equity strategies including Machine Intelligence Dynamic Global Equity and Opportunistic U.S. Equity funds to institutional investors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Voya Financial Q1 &amp; Q2 2026 Earnings Releases — SEC Filings, Voya Investor Relations, Investing.com, Yahoo Finance, May-August 2026</w:t>
      </w:r>
    </w:p>
    <w:p>
      <w:pPr>
        <w:spacing w:before="20" w:after="20"/>
        <w:ind w:left="170"/>
      </w:pPr>
      <w:r>
        <w:rPr>
          <w:rFonts w:ascii="Calibri" w:hAnsi="Calibri"/>
          <w:b/>
          <w:color w:val="4A6B25"/>
          <w:sz w:val="15"/>
        </w:rPr>
        <w:t xml:space="preserve">2. </w:t>
      </w:r>
      <w:r>
        <w:rPr>
          <w:rFonts w:ascii="Calibri" w:hAnsi="Calibri"/>
          <w:b w:val="0"/>
          <w:color w:val="3A4A28"/>
          <w:sz w:val="17"/>
        </w:rPr>
        <w:t>Voya Financial AI Innovation Strategy and Culture — 401k Specialist, Voya Corporate News, Glassdoor Reviews, September 2026</w:t>
      </w:r>
    </w:p>
    <w:p>
      <w:pPr>
        <w:spacing w:before="20" w:after="20"/>
        <w:ind w:left="170"/>
      </w:pPr>
      <w:r>
        <w:rPr>
          <w:rFonts w:ascii="Calibri" w:hAnsi="Calibri"/>
          <w:b/>
          <w:color w:val="4A6B25"/>
          <w:sz w:val="15"/>
        </w:rPr>
        <w:t xml:space="preserve">3. </w:t>
      </w:r>
      <w:r>
        <w:rPr>
          <w:rFonts w:ascii="Calibri" w:hAnsi="Calibri"/>
          <w:b w:val="0"/>
          <w:color w:val="3A4A28"/>
          <w:sz w:val="17"/>
        </w:rPr>
        <w:t>Voya Financial ESG Commitments and Corporate Responsibility — voya.com, institutional.voya.com, PlanSponsor,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VOYA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