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VRT</w:t>
      </w:r>
      <w:r>
        <w:rPr>
          <w:rFonts w:ascii="Calibri" w:hAnsi="Calibri"/>
          <w:b/>
          <w:color w:val="1A2010"/>
          <w:sz w:val="40"/>
        </w:rPr>
        <w:t xml:space="preserve">  Vertiv Holdings Co</w:t>
      </w:r>
    </w:p>
    <w:p>
      <w:pPr>
        <w:spacing w:after="120"/>
      </w:pPr>
      <w:r>
        <w:rPr>
          <w:rFonts w:ascii="Calibri" w:hAnsi="Calibri"/>
          <w:b/>
          <w:color w:val="6E8450"/>
          <w:sz w:val="18"/>
        </w:rPr>
        <w:t>GROWTH SLEEVE · 2026-10-02 · Inspire: 74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NYSE · United States</w:t>
      </w:r>
    </w:p>
    <w:p>
      <w:pPr>
        <w:spacing w:after="80"/>
      </w:pPr>
      <w:r>
        <w:rPr>
          <w:rFonts w:ascii="Calibri" w:hAnsi="Calibri"/>
          <w:b w:val="0"/>
          <w:color w:val="3A4A28"/>
          <w:sz w:val="20"/>
        </w:rPr>
        <w:t>Vertiv designs, manufactures, and services critical digital infrastructure for data centers and communication networks — uninterruptible power supplies, power distribution, thermal management and liquid cooling, racks, and integrated modular systems — branded around a 'grid-to-chip' portfolio for AI-density deployments. Formerly Emerson Network Power, it went public via SPAC in 2020 with Executive Chairman David Cote. Q2 2026 net sales rose 24% with adjusted operating margin of 22.6%, and 2026 sales are guided to ~$14B. CEO Giordano Albertazzi has led since January 2023; headquartered in Westerville, Ohio.</w:t>
      </w:r>
    </w:p>
    <w:p>
      <w:r>
        <w:rPr>
          <w:rFonts w:ascii="Calibri" w:hAnsi="Calibri"/>
          <w:b/>
          <w:color w:val="6E8450"/>
          <w:sz w:val="18"/>
        </w:rPr>
        <w:t>34,000 Employees · https://www.vertiv.com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Vertiv has transformed from a slow-growth Emerson Network Power carve-out into the leading physical-infrastructure supplier for AI data centers — revenue rose from $4.4B in 2020 to $10.2B in 2025 and is guided to ~$14B in 2026 (+37%), on the back of liquid-cooling, high-density power, and prefabricated modular systems built for GPU racks [1][8]. AI Deployment (2/2): AI-driven liquid-cooling and power systems for GPU clusters ship at scale and drove Q4 2025 organic orders up 252%; Vertiv also acquired Waylay to add generative-AI predictive analytics to its monitoring software [4][5]. Market Share (2/2): Vertiv is the category leader in data-center thermal and power infrastructure, evidenced by a record $15.0B backlog (up 109% YoY) of legally binding orders [3]. Product Pipeline (2/2): Specific capacity and product additions are scheduled — liquid-cooling fluid-management services expanded through PurgeRite (North America, December 2025) and the pending King Environmental Services deal (EMEA, closing Q4 2026), plus Great Lakes high-density racks — with backlog largely shipping within 12-18 months [3][5]. R&amp;D Intensity (0/1): R&amp;D spend is roughly in line with large electrical-equipment peers rather than top-quartile, so no point is awarded [8].</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Vertiv's purpose — designing, building, and servicing the critical infrastructure that keeps digital applications running continuously — is clear and accurate but functional, describing what it makes rather than a distinctive larger cause [6]. Community Impact (1/2): Vertiv publishes an annual responsible-business/ESG report covering energy-efficient design and community engagement, but no distinctive foundation or quantified giving program was found [6]. Employee Retention (0/2): No tenure or voluntary-turnover data is disclosed, and a workforce scaling rapidly through hiring and acquisitions offers no evidence of mission-driven retention. Insider Buying (0/2): No meaningful open-market insider buying was identified; executive and sponsor-related transactions in recent years have been sales [8].</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(0.10% yield) [8]. D/E of 70.2% (~1.0), ROE of 43.9% (1.0, 2x weight), YoY revenue growth of 24.1% (1.0), 5-year revenue CAGR of ~18.5% from $4.37B in 2020 to $10.23B in 2025 (1.0, 2x), forward P/E of 27.4 (0.82), profit margin of 15.1% (0.75), and forward PEG of 0.83 (1.0, 2x) yield a weighted 9.57/10, rounded to 10 [8]. Q2 2026 adjusted operating margin expanded 410bps to 22.6% and 2026 adjusted free cash flow is guided to ~$2.5B; daily dollar volume of ~$1.3B (5.24M shares at $251) clears the liquidity floor easily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Vertiv has executed brilliantly, but Sinek would see a company still discovering what it stands for beyond being the right supplier at the right moment. Its leaders showed courage by building capacity and capabilities ahead of the AI wave and continue to buy service capabilities that make customers' deployments work. Yet its purpose is functional, the culture is still being forged from an Emerson legacy through rapid scaling, and its identity is tightly bound to one capex cycle.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Vertiv's purpose of keeping critical digital applications running is accurate and service-oriented but reads as a description of the business; it has existed in its current form only since the 2016 carve-out and 2020 listing and has not been tested across decades or leadership eras [6].</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Leadership has been stable — Albertazzi, a long-time Vertiv/Emerson executive, became CEO in January 2023 alongside Executive Chairman David Cote — and employee reviews average about 3.7/5 [9][10]. A consolidated shareholder derivative suit over 2023-era statements on inflation and pricing is a governance yellow flag, so trust rates as adequate [7].</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Vertiv frames its position around backlog, share, and capacity versus Schneider Electric and Eaton; no evidence was found of management publicly crediting rivals' strengths as a catalyst for its own improvement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Vertiv has reoriented a broad critical-infrastructure portfolio toward AI-density liquid cooling, fluid-management services, and integrated modular systems, but this deepens its existing data-center franchise rather than abandoning a business for a new one [5].</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Management invested in liquid-cooling and high-density power capacity before AI orders materialized and has kept investing through a Q2 2026 revenue-timing miss that hit the stock — adding PurgeRite, Great Lakes, Waylay, and King Environmental Services to build service and integration capability rather than maximize near-term margins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Vertiv is the purest scaled play on the physical layer of AI data centers: Q2 2026 net sales rose 24%, adjusted operating margin expanded 410bps to 22.6%, adjusted EPS climbed 60% to $1.52, and full-year guidance was raised to ~$14B of sales (+37%), ~$6.70 of adjusted EPS (+60%), and ~$2.5B of adjusted free cash flow [1]. A record $15.0B binding backlog — up 109% YoY after a 2.9x Q4 2025 book-to-bill — gives 12-18 months of visibility, and the stock trades at a 0.83 PEG despite 44% ROE [3][4][8].</w:t>
      </w:r>
    </w:p>
    <w:p>
      <w:pPr>
        <w:spacing w:after="120"/>
      </w:pPr>
      <w:r>
        <w:rPr>
          <w:rFonts w:ascii="Calibri" w:hAnsi="Calibri"/>
          <w:b w:val="0"/>
          <w:color w:val="3A4A28"/>
          <w:sz w:val="20"/>
        </w:rPr>
        <w:t>The bear case is cycle and valuation risk: at ~27x forward and ~56x trailing earnings, Vertiv is priced for continuous hyperscaler capex growth, and the Q2 2026 revenue miss on 'timing' shows how shipment slippage moves the stock [2][8]. Competition from Schneider Electric, Eaton, and newer liquid-cooling specialists could pressure pricing, and rapid capacity expansion plus serial acquisitions raise execution and integration risk; outstanding shareholder derivative and customer patent litigation add tail risk [5][7].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Conversion of the $15.0B backlog into a strong second half 2026 as new manufacturing capacity comes online, supporting the raised ~$14B sales and $6.70 EPS guidance</w:t>
      </w:r>
    </w:p>
    <w:p>
      <w:pPr>
        <w:spacing w:before="40" w:after="40"/>
        <w:ind w:left="283"/>
      </w:pPr>
      <w:r>
        <w:rPr>
          <w:rFonts w:ascii="Calibri" w:hAnsi="Calibri"/>
          <w:b/>
          <w:color w:val="4A6B25"/>
          <w:sz w:val="20"/>
        </w:rPr>
        <w:t xml:space="preserve">2. </w:t>
      </w:r>
      <w:r>
        <w:rPr>
          <w:rFonts w:ascii="Calibri" w:hAnsi="Calibri"/>
          <w:b w:val="0"/>
          <w:color w:val="3A4A28"/>
          <w:sz w:val="20"/>
        </w:rPr>
        <w:t>Closing of the King Environmental Services acquisition in Q4 2026, extending PurgeRite's liquid-cooling fluid-management services model into EMEA</w:t>
      </w:r>
    </w:p>
    <w:p>
      <w:pPr>
        <w:spacing w:before="40" w:after="40"/>
        <w:ind w:left="283"/>
      </w:pPr>
      <w:r>
        <w:rPr>
          <w:rFonts w:ascii="Calibri" w:hAnsi="Calibri"/>
          <w:b/>
          <w:color w:val="4A6B25"/>
          <w:sz w:val="20"/>
        </w:rPr>
        <w:t xml:space="preserve">3. </w:t>
      </w:r>
      <w:r>
        <w:rPr>
          <w:rFonts w:ascii="Calibri" w:hAnsi="Calibri"/>
          <w:b w:val="0"/>
          <w:color w:val="3A4A28"/>
          <w:sz w:val="20"/>
        </w:rPr>
        <w:t>Next-generation high-density power and liquid-cooling platforms for upcoming GPU rack architectures expanding content per megawatt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Hyperscaler AI capex digestion or order deferrals would hit a business priced at ~27x forward earnings with a backlog concentrated in large data-center customers</w:t>
      </w:r>
    </w:p>
    <w:p>
      <w:pPr>
        <w:spacing w:before="40" w:after="40"/>
        <w:ind w:left="283"/>
      </w:pPr>
      <w:r>
        <w:rPr>
          <w:rFonts w:ascii="Calibri" w:hAnsi="Calibri"/>
          <w:b/>
          <w:color w:val="4A6B25"/>
          <w:sz w:val="20"/>
        </w:rPr>
        <w:t xml:space="preserve">2. </w:t>
      </w:r>
      <w:r>
        <w:rPr>
          <w:rFonts w:ascii="Calibri" w:hAnsi="Calibri"/>
          <w:b w:val="0"/>
          <w:color w:val="3A4A28"/>
          <w:sz w:val="20"/>
        </w:rPr>
        <w:t>Shipment-timing slippage and capacity ramp challenges, as seen in the Q2 2026 revenue miss despite an EPS beat</w:t>
      </w:r>
    </w:p>
    <w:p>
      <w:pPr>
        <w:spacing w:before="40" w:after="40"/>
        <w:ind w:left="283"/>
      </w:pPr>
      <w:r>
        <w:rPr>
          <w:rFonts w:ascii="Calibri" w:hAnsi="Calibri"/>
          <w:b/>
          <w:color w:val="4A6B25"/>
          <w:sz w:val="20"/>
        </w:rPr>
        <w:t xml:space="preserve">3. </w:t>
      </w:r>
      <w:r>
        <w:rPr>
          <w:rFonts w:ascii="Calibri" w:hAnsi="Calibri"/>
          <w:b w:val="0"/>
          <w:color w:val="3A4A28"/>
          <w:sz w:val="20"/>
        </w:rPr>
        <w:t>Intensifying competition from Schneider Electric, Eaton, and liquid-cooling specialists, plus integration risk across multiple 2025-2026 acquisitions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Vertiv sells the physical power and cooling equipment every AI data center requires; rising GPU rack densities mechanically increase demand for liquid cooling and high-capacity power distribution, and analysts treat AI exclusively as a demand driver, as reflected in the $15.0B backlog [3][4]. One point is withheld because demand is concentrated in AI data-center capex cycles that could pause, not because of substitution risk. AI Opportunity (1/1): AI data-center deployments are the primary driver of 2026 sales guidance of ~$14B (+37%) and of Q4 2025's 252% organic order growth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Vertiv Second Quarter 2026 Results press release and presentation — investors.vertiv.com / Form 8-K, July 2026</w:t>
      </w:r>
    </w:p>
    <w:p>
      <w:pPr>
        <w:spacing w:before="20" w:after="20"/>
        <w:ind w:left="170"/>
      </w:pPr>
      <w:r>
        <w:rPr>
          <w:rFonts w:ascii="Calibri" w:hAnsi="Calibri"/>
          <w:b/>
          <w:color w:val="4A6B25"/>
          <w:sz w:val="15"/>
        </w:rPr>
        <w:t xml:space="preserve">2. </w:t>
      </w:r>
      <w:r>
        <w:rPr>
          <w:rFonts w:ascii="Calibri" w:hAnsi="Calibri"/>
          <w:b w:val="0"/>
          <w:color w:val="3A4A28"/>
          <w:sz w:val="17"/>
        </w:rPr>
        <w:t>Vertiv Q2 2026 earnings call transcript and coverage (revenue timing miss, guidance raise) — Investing.com / Yahoo Finance / R40, July 2026</w:t>
      </w:r>
    </w:p>
    <w:p>
      <w:pPr>
        <w:spacing w:before="20" w:after="20"/>
        <w:ind w:left="170"/>
      </w:pPr>
      <w:r>
        <w:rPr>
          <w:rFonts w:ascii="Calibri" w:hAnsi="Calibri"/>
          <w:b/>
          <w:color w:val="4A6B25"/>
          <w:sz w:val="15"/>
        </w:rPr>
        <w:t xml:space="preserve">3. </w:t>
      </w:r>
      <w:r>
        <w:rPr>
          <w:rFonts w:ascii="Calibri" w:hAnsi="Calibri"/>
          <w:b w:val="0"/>
          <w:color w:val="3A4A28"/>
          <w:sz w:val="17"/>
        </w:rPr>
        <w:t>Vertiv Holdings Co Form 10-K for FY2025 — backlog disclosure ($15.0B vs. $7.2B), sec.gov, February 2026</w:t>
      </w:r>
    </w:p>
    <w:p>
      <w:pPr>
        <w:spacing w:before="20" w:after="20"/>
        <w:ind w:left="170"/>
      </w:pPr>
      <w:r>
        <w:rPr>
          <w:rFonts w:ascii="Calibri" w:hAnsi="Calibri"/>
          <w:b/>
          <w:color w:val="4A6B25"/>
          <w:sz w:val="15"/>
        </w:rPr>
        <w:t xml:space="preserve">4. </w:t>
      </w:r>
      <w:r>
        <w:rPr>
          <w:rFonts w:ascii="Calibri" w:hAnsi="Calibri"/>
          <w:b w:val="0"/>
          <w:color w:val="3A4A28"/>
          <w:sz w:val="17"/>
        </w:rPr>
        <w:t>Vertiv Q4 2025 results — organic orders +252%, book-to-bill ~2.9x — Form 8-K / Yahoo Finance / The Motley Fool, February-March 2026</w:t>
      </w:r>
    </w:p>
    <w:p>
      <w:pPr>
        <w:spacing w:before="20" w:after="20"/>
        <w:ind w:left="170"/>
      </w:pPr>
      <w:r>
        <w:rPr>
          <w:rFonts w:ascii="Calibri" w:hAnsi="Calibri"/>
          <w:b/>
          <w:color w:val="4A6B25"/>
          <w:sz w:val="15"/>
        </w:rPr>
        <w:t xml:space="preserve">5. </w:t>
      </w:r>
      <w:r>
        <w:rPr>
          <w:rFonts w:ascii="Calibri" w:hAnsi="Calibri"/>
          <w:b w:val="0"/>
          <w:color w:val="3A4A28"/>
          <w:sz w:val="17"/>
        </w:rPr>
        <w:t>Vertiv acquisitions of PurgeRite, Great Lakes, and Waylay, and agreement to acquire King Environmental Services — Data Centre Magazine / Mining Weekly / Vertiv releases, 2025-2026</w:t>
      </w:r>
    </w:p>
    <w:p>
      <w:pPr>
        <w:spacing w:before="20" w:after="20"/>
        <w:ind w:left="170"/>
      </w:pPr>
      <w:r>
        <w:rPr>
          <w:rFonts w:ascii="Calibri" w:hAnsi="Calibri"/>
          <w:b/>
          <w:color w:val="4A6B25"/>
          <w:sz w:val="15"/>
        </w:rPr>
        <w:t xml:space="preserve">6. </w:t>
      </w:r>
      <w:r>
        <w:rPr>
          <w:rFonts w:ascii="Calibri" w:hAnsi="Calibri"/>
          <w:b w:val="0"/>
          <w:color w:val="3A4A28"/>
          <w:sz w:val="17"/>
        </w:rPr>
        <w:t>Vertiv purpose statement and Responsible Business/ESG Report — vertiv.com, accessed October 2026</w:t>
      </w:r>
    </w:p>
    <w:p>
      <w:pPr>
        <w:spacing w:before="20" w:after="20"/>
        <w:ind w:left="170"/>
      </w:pPr>
      <w:r>
        <w:rPr>
          <w:rFonts w:ascii="Calibri" w:hAnsi="Calibri"/>
          <w:b/>
          <w:color w:val="4A6B25"/>
          <w:sz w:val="15"/>
        </w:rPr>
        <w:t xml:space="preserve">7. </w:t>
      </w:r>
      <w:r>
        <w:rPr>
          <w:rFonts w:ascii="Calibri" w:hAnsi="Calibri"/>
          <w:b w:val="0"/>
          <w:color w:val="3A4A28"/>
          <w:sz w:val="17"/>
        </w:rPr>
        <w:t>Vertiv Form 10-Q (Q2 2026) legal proceedings — consolidated shareholder derivative suit and Valtrus patent litigation; IIPLA</w:t>
      </w:r>
    </w:p>
    <w:p>
      <w:pPr>
        <w:spacing w:before="20" w:after="20"/>
        <w:ind w:left="170"/>
      </w:pPr>
      <w:r>
        <w:rPr>
          <w:rFonts w:ascii="Calibri" w:hAnsi="Calibri"/>
          <w:b/>
          <w:color w:val="4A6B25"/>
          <w:sz w:val="15"/>
        </w:rPr>
        <w:t xml:space="preserve">8. </w:t>
      </w:r>
      <w:r>
        <w:rPr>
          <w:rFonts w:ascii="Calibri" w:hAnsi="Calibri"/>
          <w:b w:val="0"/>
          <w:color w:val="3A4A28"/>
          <w:sz w:val="17"/>
        </w:rPr>
        <w:t>Yahoo Finance — VRT key statistics, financial statements, and dividend history, accessed October 2026</w:t>
      </w:r>
    </w:p>
    <w:p>
      <w:pPr>
        <w:spacing w:before="20" w:after="20"/>
        <w:ind w:left="170"/>
      </w:pPr>
      <w:r>
        <w:rPr>
          <w:rFonts w:ascii="Calibri" w:hAnsi="Calibri"/>
          <w:b/>
          <w:color w:val="4A6B25"/>
          <w:sz w:val="15"/>
        </w:rPr>
        <w:t xml:space="preserve">9. </w:t>
      </w:r>
      <w:r>
        <w:rPr>
          <w:rFonts w:ascii="Calibri" w:hAnsi="Calibri"/>
          <w:b w:val="0"/>
          <w:color w:val="3A4A28"/>
          <w:sz w:val="17"/>
        </w:rPr>
        <w:t>Vertiv 2026 Proxy Statement (DEF 14A) — CEO Giordano Albertazzi biography and tenure</w:t>
      </w:r>
    </w:p>
    <w:p>
      <w:pPr>
        <w:spacing w:before="20" w:after="20"/>
        <w:ind w:left="170"/>
      </w:pPr>
      <w:r>
        <w:rPr>
          <w:rFonts w:ascii="Calibri" w:hAnsi="Calibri"/>
          <w:b/>
          <w:color w:val="4A6B25"/>
          <w:sz w:val="15"/>
        </w:rPr>
        <w:t xml:space="preserve">10. </w:t>
      </w:r>
      <w:r>
        <w:rPr>
          <w:rFonts w:ascii="Calibri" w:hAnsi="Calibri"/>
          <w:b w:val="0"/>
          <w:color w:val="3A4A28"/>
          <w:sz w:val="17"/>
        </w:rPr>
        <w:t>Glassdoor — Vertiv employee reviews (~3.7/5), accessed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