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VSCO</w:t>
      </w:r>
      <w:r>
        <w:rPr>
          <w:rFonts w:ascii="Calibri" w:hAnsi="Calibri"/>
          <w:b/>
          <w:color w:val="1A2010"/>
          <w:sz w:val="40"/>
        </w:rPr>
        <w:t xml:space="preserve">  Victoria's Secret &amp; Co.</w:t>
      </w:r>
    </w:p>
    <w:p>
      <w:pPr>
        <w:spacing w:after="120"/>
      </w:pPr>
      <w:r>
        <w:rPr>
          <w:rFonts w:ascii="Calibri" w:hAnsi="Calibri"/>
          <w:b/>
          <w:color w:val="6E8450"/>
          <w:sz w:val="18"/>
        </w:rPr>
        <w:t>GROWTH SLEEVE · 2026-09-11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Apparel Retail · NYSE · United States</w:t>
      </w:r>
    </w:p>
    <w:p>
      <w:pPr>
        <w:spacing w:after="80"/>
      </w:pPr>
      <w:r>
        <w:rPr>
          <w:rFonts w:ascii="Calibri" w:hAnsi="Calibri"/>
          <w:b w:val="0"/>
          <w:color w:val="3A4A28"/>
          <w:sz w:val="20"/>
        </w:rPr>
        <w:t>Victoria's Secret &amp; Co. is a specialty retailer of women's intimate apparel, PINK, and Adore Me brands, operating approximately 850 stores in the US, Canada, and China plus ~580 international franchise/license locations. The company changed its NYSE ticker from VSCO to VSXY on June 2, 2026 to signal its brand turnaround under CEO Hillary Super's 'Path to Potential' strategy [1][5]. Q2 2026 net sales rose 10% YoY to $1.61 billion and the company raised full-year 2026 net sales guidance to $7.03-7.13 billion (from $6.85-6.95 billion), up from $6.553 billion in FY2025, alongside a sharp upward revision to adjusted operating income guidance ($550-580M vs. prior $430-460M) [1].</w:t>
      </w:r>
    </w:p>
    <w:p>
      <w:r>
        <w:rPr>
          <w:rFonts w:ascii="Calibri" w:hAnsi="Calibri"/>
          <w:b/>
          <w:color w:val="6E8450"/>
          <w:sz w:val="18"/>
        </w:rPr>
        <w:t>33,000 Employees · https://www.victoriassecretandco.com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Hillary Super, Victoria's Secret has executed a significant brand-repositioning pivot ('Path to Potential') that reaccelerated growth — Q1 2026 net sales +15% and Q2 2026 +10% YoY — and drove a 52-week stock price gain of +187%, opening a genuine growth reacceleration after years of decline, though this is a turnaround of the existing brand rather than a category-redefining transformation [1]. AI Deployment (2/2): Victoria's Secret partnered with Google Cloud to deploy generative AI shopping tools, including an image-based search feature letting customers upload a photo of a bra to receive similar-fit recommendations, which is live in production for customers [2][6]. Market Share (1/2): Victoria's Secret remains a leading intimate-apparel retailer but faces continued share pressure from Skims, Aerie, and other challenger brands, with no specific data cited showing net share gains. Product Pipeline (1/2): The 'Path to Potential' strategy and continued AI/digital investment provide general strategic direction, but no specific next-generation product lines with named launch dates and revenue visibility were identified. R&amp;D Intensity (0/1): As an apparel retailer, Victoria's Secret does not report material R&amp;D spend, and no above-industry R&amp;D intensity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company's stated purpose — to understand and inspire its customer, 'celebrating her as an individual and amplifying her voice around the world' through inclusive sizing and advocacy-driven programs — is clear and identifies a specific audience and values, but uses empowerment-brand language that is common across apparel peers rather than being fully distinctive [3][7]. Community Impact (2/2): The VS&amp;Co Foundation has pledged multi-million-dollar commitments toward women's cancer research and gender-equality initiatives, representing a specific, distinctive philanthropic program tied to the company's core customer base [7]. Employee Retention (0/2): No specific tenure or voluntary-turnover data was found to support a retention narrative, despite headcount growing 6.45% to 33,000 in 2026. Insider Buying (1/2): Insider activity was mixed — directors Donna James ($100,550) and Anne Sheehan ($222,054) purchased shares in 2026, while a major shareholder (BBRC International) sold $25.7M in stock in the same period — a roughly balanced signal rather than clear net conviction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growth/prospect stock (no dividend paid). Return on Equity of 46.91% and Forward P/E of 14.65 both comfortably clear their targets (capped at 1.0), and Forward PEG of 0.47 is well below the 1.0 target, scoring a full 1.0 on a 2x-weighted metric. Revenue growth of approximately 8.0% YoY (FY2026 guidance midpoint of $7.08B vs. FY2025's $6.553B) scores 0.94, just short of the 10% target [1]. The primary drag is Debt-to-Equity of 276%, close to the 300% floor (score 0.10), reflecting the leveraged balance sheet inherited from the 2021 L Brands spin-off, and Profit Margin of 5.47% scores only 0.27 against the 20% target, consistent with thin retail margins and ~$160M of incremental 2026 tariff costs. The stock clears the liquidity floor easily (~1.94M shares/day x $73.39 = ~$142.7M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Victoria's Secret is mid-transformation from a finite-game brand defined by a controversial marketing model (the 'Angels' and Fashion Show franchise) into a more purpose-driven, inclusive brand under CEO Hillary Super. The willingness to abandon a profitable but reputationally damaged marketing engine, absorb tariff costs to protect brand investment, and reposition around customer inclusivity shows real existential flexibility and courage, but the Just Cause is still being proven out post-spin-off and the organizational trust story is early in its rebuild.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company's repositioning around understanding and 'amplifying' its customer's voice, with inclusive sizing and advocacy-linked programs, is a genuine and partially lived purpose that leadership actively references in strategic decisions — ending the 'Angels' marketing concept and broadening size/casting diversity — but it has been in place only since the 2021 L Brands spin-off and has not yet been tested across a full multi-decade cycle or crisis [3][7].</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Hillary Super has described actively reshaping culture and 'giving ourselves permission to do things differently,' and headcount grew 6.45% to 33,000 in 2026 rather than contracting, but there is no independent long-tenure or low-turnover data yet to confirm a high-trust organization beyond leadership's own characterization [1][3].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Victoria's Secret publicly framing competitors such as Skims or Aerie as sources of self-improvement; company communications focus on its own brand repositioning and financial turnaround rather than explicit competitive-learning language in either direction.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Victoria's Secret fundamentally reinvented its business model by ending the long-running Fashion Show and 'Angels' marketing franchise — a profitable but culturally scrutinized asset — in favor of an inclusive, advocacy-oriented brand identity, while separately spinning off from L Brands in 2021 to operate independently and now rebranding its ticker to VSXY to signal the change is permanent, a transformative pivot rather than incremental adjustment [1][3][5].</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Leadership walked away from the highly profitable but reputationally costly Fashion Show/Angels marketing model despite near-term revenue risk, and under CEO Super the company is absorbing an estimated $160M of incremental 2026 tariff costs (a 175bps Q1 gross margin hit) while continuing to prioritize brand investment over near-term margin protection, reflecting a pattern of choosing long-term brand capability over short-term earnings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Victoria's Secret's turnaround under CEO Hillary Super is delivering measurable results — Q1 2026 net sales grew 15% and Q2 2026 grew 10% YoY, prompting management to raise full-year 2026 net sales guidance to $7.03-7.13B and adjusted operating income guidance to $550-580M, up sharply from prior guidance of $430-460M [1]. Forward P/E of 14.65 and a Forward PEG of just 0.47 suggest the market has not fully priced in the earnings reacceleration, and ROE of 46.91% reflects strong capital efficiency off a lean equity base. The brand repositioning — ending the 'Angels'/Fashion Show model, broadening inclusivity, and deploying AI-powered shopping tools via Google Cloud — is a credible, evidence-backed strategic pivot rather than a cosmetic rebrand, reinforced by the symbolic June 2026 ticker change to VSXY.</w:t>
      </w:r>
    </w:p>
    <w:p>
      <w:pPr>
        <w:spacing w:after="120"/>
      </w:pPr>
      <w:r>
        <w:rPr>
          <w:rFonts w:ascii="Calibri" w:hAnsi="Calibri"/>
          <w:b w:val="0"/>
          <w:color w:val="3A4A28"/>
          <w:sz w:val="20"/>
        </w:rPr>
        <w:t>The bear case centers on balance sheet leverage and thin margins: Debt-to-Equity of 276% is close to the scoring floor and reflects debt inherited from the 2021 L Brands spin-off, while Profit Margin of just 5.47% leaves little room for error against ~$160M of incremental 2026 tariff costs [1]. Q3 2026 revenue growth decelerated to 9.3% YoY with a continued net loss per share (-$0.46, albeit improved from -$0.71), showing the turnaround is not yet linear. The stock's +187% 52-week run has already priced in substantial optimism, so any stumble in holiday-quarter execution or renewed tariff escalation could compress the multiple quickly. The Inspire Impact Score of -67 (MISALIGNED), driven by abortion and LGBT activism attributions, may exclude this name from faith-based allocation despite the improving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Holiday 2026 quarter execution on the reaccelerated 'Path to Potential' strategy, testing whether the 10-15% net sales growth seen in Q1/Q2 2026 can be sustained through the critical Q4 selling season [1]</w:t>
      </w:r>
    </w:p>
    <w:p>
      <w:pPr>
        <w:spacing w:before="40" w:after="40"/>
        <w:ind w:left="283"/>
      </w:pPr>
      <w:r>
        <w:rPr>
          <w:rFonts w:ascii="Calibri" w:hAnsi="Calibri"/>
          <w:b/>
          <w:color w:val="4A6B25"/>
          <w:sz w:val="20"/>
        </w:rPr>
        <w:t xml:space="preserve">2. </w:t>
      </w:r>
      <w:r>
        <w:rPr>
          <w:rFonts w:ascii="Calibri" w:hAnsi="Calibri"/>
          <w:b w:val="0"/>
          <w:color w:val="3A4A28"/>
          <w:sz w:val="20"/>
        </w:rPr>
        <w:t>Continued rollout of AI-powered shopping and personalization tools (Google Cloud Vertex AI visual search) to drive digital conversion and reduce customer acquisition costs [2][6]</w:t>
      </w:r>
    </w:p>
    <w:p>
      <w:pPr>
        <w:spacing w:before="40" w:after="40"/>
        <w:ind w:left="283"/>
      </w:pPr>
      <w:r>
        <w:rPr>
          <w:rFonts w:ascii="Calibri" w:hAnsi="Calibri"/>
          <w:b/>
          <w:color w:val="4A6B25"/>
          <w:sz w:val="20"/>
        </w:rPr>
        <w:t xml:space="preserve">3. </w:t>
      </w:r>
      <w:r>
        <w:rPr>
          <w:rFonts w:ascii="Calibri" w:hAnsi="Calibri"/>
          <w:b w:val="0"/>
          <w:color w:val="3A4A28"/>
          <w:sz w:val="20"/>
        </w:rPr>
        <w:t>Further deleveraging of the balance sheet from improved free cash flow, which would lift the Infrastructure score materially given Debt-to-Equity is currently the largest drag on the Infrastructure metric (0.10 of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leverage (Debt-to-Equity of 276%) leaves limited flexibility if the turnaround stalls or if tariff costs (~$160M incremental in 2026) exceed current guidance [1]</w:t>
      </w:r>
    </w:p>
    <w:p>
      <w:pPr>
        <w:spacing w:before="40" w:after="40"/>
        <w:ind w:left="283"/>
      </w:pPr>
      <w:r>
        <w:rPr>
          <w:rFonts w:ascii="Calibri" w:hAnsi="Calibri"/>
          <w:b/>
          <w:color w:val="4A6B25"/>
          <w:sz w:val="20"/>
        </w:rPr>
        <w:t xml:space="preserve">2. </w:t>
      </w:r>
      <w:r>
        <w:rPr>
          <w:rFonts w:ascii="Calibri" w:hAnsi="Calibri"/>
          <w:b w:val="0"/>
          <w:color w:val="3A4A28"/>
          <w:sz w:val="20"/>
        </w:rPr>
        <w:t>Thin profit margin (5.47%) means modest gross margin pressure from tariffs, freight, or promotional intensity during holiday season could disproportionately impact earnings</w:t>
      </w:r>
    </w:p>
    <w:p>
      <w:pPr>
        <w:spacing w:before="40" w:after="40"/>
        <w:ind w:left="283"/>
      </w:pPr>
      <w:r>
        <w:rPr>
          <w:rFonts w:ascii="Calibri" w:hAnsi="Calibri"/>
          <w:b/>
          <w:color w:val="4A6B25"/>
          <w:sz w:val="20"/>
        </w:rPr>
        <w:t xml:space="preserve">3. </w:t>
      </w:r>
      <w:r>
        <w:rPr>
          <w:rFonts w:ascii="Calibri" w:hAnsi="Calibri"/>
          <w:b w:val="0"/>
          <w:color w:val="3A4A28"/>
          <w:sz w:val="20"/>
        </w:rPr>
        <w:t>Structural risk that AI-mediated shopping platforms disintermediate direct brand relationships and data, a risk explicitly flagged by retail analysts as 'disruption that has only just begun'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Victoria's Secret's core business — physical intimate apparel requiring fit, brand loyalty, and in-store/e-commerce experience — has meaningful defensive moats against pure AI substitution, and the company is actively using AI (Google Cloud Vertex AI image search) as a conversion and personalization tool rather than facing it as a threat [2][6]. However, industry analysts have flagged a real structural risk: as consumers increasingly discover and purchase products through AI shopping agents and chat-based platforms, retailers risk losing direct customer data and relationship control, which is a genuine emerging exposure for a brand-dependent apparel retailer [6]. AI Opportunity (1/1): Victoria's Secret has shipped AI-powered shopping features (visual search, personalized recommendations) in production, contributing to the digital engagement supporting the current double-digit e-commerce and overall sales growth trajectory under the 'Path to Potential' strategy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Victoria's Secret &amp; Co. Reports First and Second Quarter 2026 Results — GlobeNewswire/Yahoo Finance, June-September 2026</w:t>
      </w:r>
    </w:p>
    <w:p>
      <w:pPr>
        <w:spacing w:before="20" w:after="20"/>
        <w:ind w:left="170"/>
      </w:pPr>
      <w:r>
        <w:rPr>
          <w:rFonts w:ascii="Calibri" w:hAnsi="Calibri"/>
          <w:b/>
          <w:color w:val="4A6B25"/>
          <w:sz w:val="15"/>
        </w:rPr>
        <w:t xml:space="preserve">2. </w:t>
      </w:r>
      <w:r>
        <w:rPr>
          <w:rFonts w:ascii="Calibri" w:hAnsi="Calibri"/>
          <w:b w:val="0"/>
          <w:color w:val="3A4A28"/>
          <w:sz w:val="17"/>
        </w:rPr>
        <w:t>Victoria's Secret to infuse AI into online shopping — Retail Dive/CIO Dive, Google Cloud Vertex AI partnership announcement</w:t>
      </w:r>
    </w:p>
    <w:p>
      <w:pPr>
        <w:spacing w:before="20" w:after="20"/>
        <w:ind w:left="170"/>
      </w:pPr>
      <w:r>
        <w:rPr>
          <w:rFonts w:ascii="Calibri" w:hAnsi="Calibri"/>
          <w:b/>
          <w:color w:val="4A6B25"/>
          <w:sz w:val="15"/>
        </w:rPr>
        <w:t xml:space="preserve">3. </w:t>
      </w:r>
      <w:r>
        <w:rPr>
          <w:rFonts w:ascii="Calibri" w:hAnsi="Calibri"/>
          <w:b w:val="0"/>
          <w:color w:val="3A4A28"/>
          <w:sz w:val="17"/>
        </w:rPr>
        <w:t>Victoria's Secret Mission, Vision &amp; Values — Comparably / Business Strategy Hub,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MarketBeat / TipRanks — VSXY insider trading activity, 2026</w:t>
      </w:r>
    </w:p>
    <w:p>
      <w:pPr>
        <w:spacing w:before="20" w:after="20"/>
        <w:ind w:left="170"/>
      </w:pPr>
      <w:r>
        <w:rPr>
          <w:rFonts w:ascii="Calibri" w:hAnsi="Calibri"/>
          <w:b/>
          <w:color w:val="4A6B25"/>
          <w:sz w:val="15"/>
        </w:rPr>
        <w:t xml:space="preserve">5. </w:t>
      </w:r>
      <w:r>
        <w:rPr>
          <w:rFonts w:ascii="Calibri" w:hAnsi="Calibri"/>
          <w:b w:val="0"/>
          <w:color w:val="3A4A28"/>
          <w:sz w:val="17"/>
        </w:rPr>
        <w:t>Victoria's Secret &amp; Co. to Change Ticker Symbol to VSXY — GlobeNewswire, May 21, 2026</w:t>
      </w:r>
    </w:p>
    <w:p>
      <w:pPr>
        <w:spacing w:before="20" w:after="20"/>
        <w:ind w:left="170"/>
      </w:pPr>
      <w:r>
        <w:rPr>
          <w:rFonts w:ascii="Calibri" w:hAnsi="Calibri"/>
          <w:b/>
          <w:color w:val="4A6B25"/>
          <w:sz w:val="15"/>
        </w:rPr>
        <w:t xml:space="preserve">6. </w:t>
      </w:r>
      <w:r>
        <w:rPr>
          <w:rFonts w:ascii="Calibri" w:hAnsi="Calibri"/>
          <w:b w:val="0"/>
          <w:color w:val="3A4A28"/>
          <w:sz w:val="17"/>
        </w:rPr>
        <w:t>Victoria's Secret to infuse AI into online shopping / retail AI disruption risk commentary — Retail Dive, CX Dive</w:t>
      </w:r>
    </w:p>
    <w:p>
      <w:pPr>
        <w:spacing w:before="20" w:after="20"/>
        <w:ind w:left="170"/>
      </w:pPr>
      <w:r>
        <w:rPr>
          <w:rFonts w:ascii="Calibri" w:hAnsi="Calibri"/>
          <w:b/>
          <w:color w:val="4A6B25"/>
          <w:sz w:val="15"/>
        </w:rPr>
        <w:t xml:space="preserve">7. </w:t>
      </w:r>
      <w:r>
        <w:rPr>
          <w:rFonts w:ascii="Calibri" w:hAnsi="Calibri"/>
          <w:b w:val="0"/>
          <w:color w:val="3A4A28"/>
          <w:sz w:val="17"/>
        </w:rPr>
        <w:t>Victoria's Secret &amp; Co. ESG Report Highlights and Foundation philanthropy disclosures — victoriassecretandco.com/esg</w:t>
      </w:r>
    </w:p>
    <w:p>
      <w:pPr>
        <w:spacing w:before="20" w:after="20"/>
        <w:ind w:left="170"/>
      </w:pPr>
      <w:r>
        <w:rPr>
          <w:rFonts w:ascii="Calibri" w:hAnsi="Calibri"/>
          <w:b/>
          <w:color w:val="4A6B25"/>
          <w:sz w:val="15"/>
        </w:rPr>
        <w:t xml:space="preserve">8. </w:t>
      </w:r>
      <w:r>
        <w:rPr>
          <w:rFonts w:ascii="Calibri" w:hAnsi="Calibri"/>
          <w:b w:val="0"/>
          <w:color w:val="3A4A28"/>
          <w:sz w:val="17"/>
        </w:rPr>
        <w:t>stockanalysis.com — VSXY Statistics &amp; Valuation and Employees pages,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