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VVR</w:t>
      </w:r>
      <w:r>
        <w:rPr>
          <w:rFonts w:ascii="Calibri" w:hAnsi="Calibri"/>
          <w:b/>
          <w:color w:val="1A2010"/>
          <w:sz w:val="40"/>
        </w:rPr>
        <w:t xml:space="preserve">  Invesco Senior Income Trust</w:t>
      </w:r>
    </w:p>
    <w:p>
      <w:pPr>
        <w:spacing w:after="120"/>
      </w:pPr>
      <w:r>
        <w:rPr>
          <w:rFonts w:ascii="Calibri" w:hAnsi="Calibri"/>
          <w:b/>
          <w:color w:val="6E8450"/>
          <w:sz w:val="18"/>
        </w:rPr>
        <w:t>DIVIDEND SLEEVE · 2026-09-29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Closed-End Fund — Senior Loans · NYSE · United States</w:t>
      </w:r>
    </w:p>
    <w:p>
      <w:pPr>
        <w:spacing w:after="80"/>
      </w:pPr>
      <w:r>
        <w:rPr>
          <w:rFonts w:ascii="Calibri" w:hAnsi="Calibri"/>
          <w:b w:val="0"/>
          <w:color w:val="3A4A28"/>
          <w:sz w:val="20"/>
        </w:rPr>
        <w:t>Invesco Senior Income Trust is a diversified, closed-end management investment company registered under the Investment Company Act of 1940, investing primarily in floating or variable rate senior loans to corporations across various industries. Formed in 1998 and managed by Invesco Advisers, the fund employs approximately 26% leverage and targets high current income with capital preservation. For FY2026, the fund reported NAV return of 2.70% while market price declined 15.18%, with shares trading at an 11.21% discount to NAV.</w:t>
      </w:r>
    </w:p>
    <w:p>
      <w:r>
        <w:rPr>
          <w:rFonts w:ascii="Calibri" w:hAnsi="Calibri"/>
          <w:b/>
          <w:color w:val="6E8450"/>
          <w:sz w:val="18"/>
        </w:rPr>
        <w:t>https://www.invesco.com/us/financial-products/closed-end/product-detail?audienceType=Investor&amp;productId=FUND-30607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VVR is a closed-end fund, not an operating company — it does not innovate, develop products, or create new markets [1]. FY2026 revenue (interest income) of $80.5M declined 18.2% YoY from $98.4M as falling interest rates reduced floating-rate loan yields. NAV return of 2.70% for the fiscal year ending February 2026 was positive but modest, while market price return of -15.18% reflected investor selling pressure and widening discount [1]. AI Deployment (0/2): No AI capabilities — the fund is managed by Invesco's loan portfolio team using traditional credit analysis. Market Share (1/2): VVR is one of several Invesco closed-end funds and competes in a crowded senior loan CEF space. The fund has been operating since 1998, demonstrating staying power, but has not grown meaningfully relative to ETF alternatives like BKLN or SRLN that offer similar exposure with better liquidity [2]. Product Pipeline (0/2): No product pipeline — the fund's mandate is fixed to senior loan investing. R&amp;D Intensity (1/1): Invesco applies institutional credit research to portfolio management, adequate for the strategy.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The fund's objective — 'high level of current income, consistent with preservation of capital' — is a purely financial mandate with no broader purpose, social impact, or stakeholder mission [2]. It generates income by lending to leveraged corporations, which has no intrinsic inspirational dimension. Community Impact (0/2): No community impact programs, charitable giving, or sustainability reporting beyond Invesco's corporate-level ESG disclosures [3]. The fund's investments in senior loans to leveraged corporations have no direct social or environmental purpose. Employee Retention (1/2): Managed by Invesco Advisers (a global asset manager with ~$1.7T AUM), VVR benefits from institutional-quality portfolio management talent and Invesco's corporate ESG commitment [2][3]. However, the fund itself has no employees — retention and culture are properties of the parent company, not the investment vehicle. Insider Buying (1/2): Invesco portfolio managers may hold fund shares per compliance requirements, but no significant insider accumulation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Dividend sleeve methodology. D/E of 58.8% (reflecting ~26% leverage of total assets) is below the 70% target, scoring 1.0 (1x weight) — conservative leverage for a closed-end fund [4]. ROE of 2.4% is far below the 15% target, scoring 0.16 (1x weight), reflecting that GAAP earnings understate distributable income for a CEF. Revenue growth YoY of -18.8% scores 0.04 (1x weight) as falling rates compressed floating-rate loan yields [1]. Estimated 5-year revenue CAGR of approximately -2% scores 0.20 (1x weight). Forward PE is unavailable. Profit margin of 17.0% scores 0.85 (1x weight). Dividend adds: payout ratio of 507% per GAAP earnings scores 0.0 (1x weight) — distorted by CEF accounting where distributable income far exceeds GAAP net income. Consecutive years paid estimated at 28 years (since 1998 inception) scores 1.0 (2x weight). Consecutive years of distribution growth is 0 (distributions were cut and partially restored), scoring 0.0 (1x weight). 5-year dividend growth CAGR of approximately 0% scores 0.0 (2x weight). Daily dollar volume of approximately $2.0M provides adequate but not ample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Invesco Senior Income Trust is a closed-end fund with a narrowly defined financial mandate — generating current income from senior loans. By design, it plays a finite game: the fund exists to produce distributions, not to build something enduring, transform an industry, or serve a purpose beyond financial returns. The 11.21% discount to NAV, -15.18% market price return, and declining interest income as rates fall reflect a vehicle struggling to maintain relevance against lower-cost ETF alternatives in a changing rate environment.</w:t>
      </w:r>
    </w:p>
    <w:p>
      <w:pPr>
        <w:spacing w:before="200" w:after="40"/>
      </w:pPr>
      <w:r>
        <w:rPr>
          <w:rFonts w:ascii="Calibri" w:hAnsi="Calibri"/>
          <w:b/>
          <w:color w:val="1A2010"/>
          <w:sz w:val="22"/>
        </w:rPr>
        <w:t>Just Cause</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The fund's investment objective is 'a high level of current income, consistent with preservation of capital' — a purely financial goal with no broader purpose or societal contribution [2]. Senior loan investing serves a function in capital markets (providing credit to leveraged companies), but this is a financial intermediation role, not a just cause that inspires commitment beyond financial returns.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fund is managed by a team of professional portfolio managers at Invesco across multiple global offices, with co-management by several Invesco affiliates [2]. This institutional structure provides professional management but no team culture unique to VVR — the fund is one of many products managed by the same organization. Standard closed-end fund governance (board of trustees, compliance, proxy voting) meets regulatory requirements but does not create a distinctive trust-based culture.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VVR competes against senior loan ETFs (BKLN, SRLN), other senior loan CEFs (Nuveen, BlackRock), and direct lending platforms that collectively offer similar exposure with lower fees or better liquidity [1]. The fund's 11.21% discount to NAV suggests the market views these alternatives as superior, which is useful self-awareness for investors even if VVR's structure prevents competitive adaptation.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VVR's investment mandate is fixed by its charter — it must invest primarily in floating/variable rate senior loans, limiting strategic pivots [2]. The fund cannot meaningfully reinvent itself or enter adjacent markets. The board approved a distribution increase in October 2023, and the fund uses modest leverage (~26%), but these are tactical adjustments within a rigid strategic framework. Closed-end funds are structurally inflexible vehicles.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Maintaining monthly distributions through rate cycles and market volatility, including the recent period of declining interest income, demonstrates commitment to the fund's income mandate [1]. However, the fund has not demonstrated bold strategic moves — no activist-driven changes, no innovative distribution structures, and no evolution beyond its 1998 founding strategy. The widening NAV discount and negative market price returns suggest the fund is being managed rather than led.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Invesco Senior Income Trust offers a 12.13% distribution yield with relatively conservative leverage (~26% of total assets) and an 11.21% discount to NAV, which provides a margin of safety for income-focused investors [1][4]. The fund's 28-year operating history since 1998 demonstrates durability through multiple credit cycles, including the GFC and COVID. Monthly distributions of $0.043/share provide predictable income, and the floating-rate senior loan portfolio provides natural protection against rising rates. D/E of 58.8% is conservative relative to closed-end fund peers, and Invesco's institutional credit research supports disciplined loan selection [2].</w:t>
      </w:r>
    </w:p>
    <w:p>
      <w:pPr>
        <w:spacing w:after="120"/>
      </w:pPr>
      <w:r>
        <w:rPr>
          <w:rFonts w:ascii="Calibri" w:hAnsi="Calibri"/>
          <w:b w:val="0"/>
          <w:color w:val="3A4A28"/>
          <w:sz w:val="20"/>
        </w:rPr>
        <w:t>The bear case is structural and cyclical. FY2026 interest income declined 18.2% to $80.5M as falling rates reduced floating-rate loan yields — the core risk for VVR's distribution sustainability [1]. GAAP ROE of just 2.4% and a payout ratio of 507% on GAAP earnings highlight the disconnect between accounting income and distributable cash flow, making the distribution's durability difficult to assess from public financials. The market price return of -15.18% versus a 2.70% NAV return reflects persistent selling pressure and a widening NAV discount, suggesting investors are migrating to lower-cost senior loan ETFs. With no dividend growth (0% 5-year CAGR), no mission beyond income generation, and an Inspire Impact Score of 0 (MIXED), VVR fails to meet IOWN framework standards across excellence, inspiration, and infinite game dimensions. The fund is a financial product, not an investment in an enduring business, and the IOWN framework inherently disadvantages passive investment vehicles that do not create, innovate, or inspire.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Interest rate stabilization or increases would boost floating-rate loan yields, directly improving VVR's interest income and potentially supporting distribution increases from the current $0.043/month [1]</w:t>
      </w:r>
    </w:p>
    <w:p>
      <w:pPr>
        <w:spacing w:before="40" w:after="40"/>
        <w:ind w:left="283"/>
      </w:pPr>
      <w:r>
        <w:rPr>
          <w:rFonts w:ascii="Calibri" w:hAnsi="Calibri"/>
          <w:b/>
          <w:color w:val="4A6B25"/>
          <w:sz w:val="20"/>
        </w:rPr>
        <w:t xml:space="preserve">2. </w:t>
      </w:r>
      <w:r>
        <w:rPr>
          <w:rFonts w:ascii="Calibri" w:hAnsi="Calibri"/>
          <w:b w:val="0"/>
          <w:color w:val="3A4A28"/>
          <w:sz w:val="20"/>
        </w:rPr>
        <w:t>NAV discount narrowing from 11.21% could provide capital appreciation on top of the 12.13% distribution yield, creating attractive total return potential for patient investors [1][4]</w:t>
      </w:r>
    </w:p>
    <w:p>
      <w:pPr>
        <w:spacing w:before="40" w:after="40"/>
        <w:ind w:left="283"/>
      </w:pPr>
      <w:r>
        <w:rPr>
          <w:rFonts w:ascii="Calibri" w:hAnsi="Calibri"/>
          <w:b/>
          <w:color w:val="4A6B25"/>
          <w:sz w:val="20"/>
        </w:rPr>
        <w:t xml:space="preserve">3. </w:t>
      </w:r>
      <w:r>
        <w:rPr>
          <w:rFonts w:ascii="Calibri" w:hAnsi="Calibri"/>
          <w:b w:val="0"/>
          <w:color w:val="3A4A28"/>
          <w:sz w:val="20"/>
        </w:rPr>
        <w:t>Credit spread widening in leveraged loan markets could increase new loan yields, improving the portfolio's income generation on reinvested principal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Declining interest rates directly compress floating-rate loan yields, threatening the 12.13% distribution — FY2026 interest income already fell 18.2% YoY, and continued rate cuts could force distribution reductions [1]</w:t>
      </w:r>
    </w:p>
    <w:p>
      <w:pPr>
        <w:spacing w:before="40" w:after="40"/>
        <w:ind w:left="283"/>
      </w:pPr>
      <w:r>
        <w:rPr>
          <w:rFonts w:ascii="Calibri" w:hAnsi="Calibri"/>
          <w:b/>
          <w:color w:val="4A6B25"/>
          <w:sz w:val="20"/>
        </w:rPr>
        <w:t xml:space="preserve">2. </w:t>
      </w:r>
      <w:r>
        <w:rPr>
          <w:rFonts w:ascii="Calibri" w:hAnsi="Calibri"/>
          <w:b w:val="0"/>
          <w:color w:val="3A4A28"/>
          <w:sz w:val="20"/>
        </w:rPr>
        <w:t>Structural shift from closed-end funds to lower-cost senior loan ETFs (BKLN, SRLN) with better liquidity and transparency creates persistent selling pressure, evidenced by the 11.21% NAV discount and -15.18% market price return [1][4]</w:t>
      </w:r>
    </w:p>
    <w:p>
      <w:pPr>
        <w:spacing w:before="40" w:after="40"/>
        <w:ind w:left="283"/>
      </w:pPr>
      <w:r>
        <w:rPr>
          <w:rFonts w:ascii="Calibri" w:hAnsi="Calibri"/>
          <w:b/>
          <w:color w:val="4A6B25"/>
          <w:sz w:val="20"/>
        </w:rPr>
        <w:t xml:space="preserve">3. </w:t>
      </w:r>
      <w:r>
        <w:rPr>
          <w:rFonts w:ascii="Calibri" w:hAnsi="Calibri"/>
          <w:b w:val="0"/>
          <w:color w:val="3A4A28"/>
          <w:sz w:val="20"/>
        </w:rPr>
        <w:t>Credit deterioration in leveraged loan portfolios during an economic slowdown could increase defaults and impairments, reducing both income and NAV — the fund's ~26% leverage amplifies both gains and losses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VVR invests in senior secured loans — a credit product where AI's impact is primarily on the management process rather than the asset class itself [1][2]. AI-powered credit analysis tools could improve loan selection and risk assessment, benefiting funds that adopt them. However, the senior loan market is fundamentally relationship-driven, with syndication, restructuring, and workout processes requiring human judgment and legal expertise. The primary AI risk to VVR is competitive: AI-enabled active managers or smart-beta ETFs could offer comparable senior loan exposure at lower fees, accelerating the structural shift from closed-end funds to lower-cost vehicles. AI Opportunity (1/1): Invesco's institutional scale positions it to deploy AI credit analytics, portfolio optimization, and risk monitoring tools across its loan portfolios, potentially improving VVR's credit selection and loss avoidance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Invesco Senior Income Trust FY2026 Annual Report (N-CSR) and NAV Performance — SEC filing, StockTitan, Morningstar, 2026</w:t>
      </w:r>
    </w:p>
    <w:p>
      <w:pPr>
        <w:spacing w:before="20" w:after="20"/>
        <w:ind w:left="170"/>
      </w:pPr>
      <w:r>
        <w:rPr>
          <w:rFonts w:ascii="Calibri" w:hAnsi="Calibri"/>
          <w:b/>
          <w:color w:val="4A6B25"/>
          <w:sz w:val="15"/>
        </w:rPr>
        <w:t xml:space="preserve">2. </w:t>
      </w:r>
      <w:r>
        <w:rPr>
          <w:rFonts w:ascii="Calibri" w:hAnsi="Calibri"/>
          <w:b w:val="0"/>
          <w:color w:val="3A4A28"/>
          <w:sz w:val="17"/>
        </w:rPr>
        <w:t>Invesco Senior Income Trust Fund Profile, Strategy, and Management — Invesco Product Page, CEF Connect, CEFA, Yahoo Finance,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Invesco Corporate ESG Framework and Fund Governance — SEC Proxy filings, Invesco ESG Policy,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VVR Key Statistics, Market Data, and Financial Metrics,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