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w:t>
      </w:r>
      <w:r>
        <w:rPr>
          <w:rFonts w:ascii="Calibri" w:hAnsi="Calibri"/>
          <w:b/>
          <w:color w:val="1A2010"/>
          <w:sz w:val="40"/>
        </w:rPr>
        <w:t xml:space="preserve">  Visa Inc.</w:t>
      </w:r>
    </w:p>
    <w:p>
      <w:pPr>
        <w:spacing w:after="120"/>
      </w:pPr>
      <w:r>
        <w:rPr>
          <w:rFonts w:ascii="Calibri" w:hAnsi="Calibri"/>
          <w:b/>
          <w:color w:val="6E8450"/>
          <w:sz w:val="18"/>
        </w:rPr>
        <w:t>GROWTH SLEEVE · 2026-10-17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Visa operates the world's largest electronic payment network, processing transactions across 200+ countries through VisaNet, which handles authorization, clearing, and settlement of payment transactions. The company operates an asset-light, toll-booth model with approximately 51% profit margins and 61% ROE. In fiscal Q1 FY2026 (ended December 2025), Visa reported net revenue of $10.9B (up 15% YoY) with EPS growth of 15%, payments volume approaching $4T, and value-added services revenue of $3.2B (up 28% YoY in constant dollars) [1]. Founded in 1958 and headquartered in San Francisco, California, Visa has invested $12B in technology over the past five years.</w:t>
      </w:r>
    </w:p>
    <w:p>
      <w:r>
        <w:rPr>
          <w:rFonts w:ascii="Calibri" w:hAnsi="Calibri"/>
          <w:b/>
          <w:color w:val="6E8450"/>
          <w:sz w:val="18"/>
        </w:rPr>
        <w:t>34,100 Employees · https://www.visa.com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Visa has successfully expanded from a card payment network into a diversified payments technology platform — value-added services (VAS) revenue reached $3.2B in Q1 FY2026, growing 28% YoY in constant dollars, representing a significant new revenue stream beyond core transaction processing [1]. The company has integrated stablecoin settlement, real-time payments, and B2B cross-border capabilities, moving well beyond its traditional consumer card franchise. AI Deployment (2/2): Visa's AI fraud detection models blocked $40B in fraudulent transactions in a single year, and CEO McInerney disclosed on the fiscal Q3 2026 call that Visa has moved from individual AI productivity tools to deploying agentic AI that completes engineering tasks under human supervision, with $100M committed to Generative AI Ventures [2]. Market Share (2/2): Visa dominates global payment networks with approximately 61% market share of credit and debit card transactions, processing nearly $4T in quarterly payment volume — a scale advantage that compounds as more merchants, banks, and fintechs connect to the network [1]. Product Pipeline (1/2): AI agent-driven commerce, stablecoin integration, B2B payment digitization, and expanded value-added services are all in active development, but specific launch dates and revenue targets for individual products are vague. R&amp;D Intensity (1/1): Visa has invested $12B in technology over the past five years, placing it well above financial services industry average for technology spending as a share of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Visa's stated purpose — 'to uplift everyone, everywhere by being the best way to pay and be paid' — connects the company's payment infrastructure to financial inclusion and economic empowerment, which is specific and meaningful beyond pure profit motive, but has not been validated through decades of consistent purpose-driven strategic decisions in the way the highest-scoring missions have [2]. Community Impact (1/2): Visa Foundation has committed $200M+ to support small businesses and financial inclusion globally, and the company achieved a nearly 90% reduction in operational emissions versus 2014 levels through renewable electricity purchases [3]. Specific programs exist but are standard for a company of Visa's size and profitability. Employee Retention (0/2): No specific voluntary turnover, average tenure, or employee retention data found; Visa's 34,100 employees operate in a competitive technology talent market, but no evidence distinguishes retention as exceptional or problematic. Insider Buying (0/2): No evidence of meaningful net insider buying by CEO Ryan McInerney or other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Visa's financial profile approaches perfection on most metrics: ROE of 61.2% is four times the 15% target (score 1.0, 2x weight), and profit margin of 50.8% far exceeds the 20% target (score 1.0), reflecting the asset-light network model [1]. Revenue growth of 14.4% YoY approaches the target (score 1.0), and the 5-year revenue CAGR of 12.9% also exceeds the 10% target (score 1.0, 2x weight), demonstrating consistent double-digit growth through multiple economic cycles including the COVID recovery. D/E of 67.8% is just below the 70% target (score 1.0). The valuation premium is the only drag: forward P/E of 26.8 exceeds the 20 target (score 0.83), and the PEG ratio of 1.81 sits between target and floor (score 0.60, 2x weight), reflecting a mature growth company priced for sustained execution. Daily dollar volume of $2.6B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Visa demonstrates solid infinite game characteristics as a 68-year-old payment network that has evolved from paper-based bank card associations to a global digital payment technology platform. CEO McInerney's embrace of potentially disruptive technologies (stablecoins, AI agents) rather than fighting them shows some existential flexibility, and the company's consistent investment in technology ($12B over five years) reflects long-term thinking. However, the Just Cause remains underdeveloped relative to the company's scale, and Visa's dominant market position sometimes manifests as monopolistic behavior (antitrust lawsuits) rather than worthy rival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Visa's purpose of 'uplifting everyone, everywhere by being the best way to pay and be paid' connects to genuine financial inclusion — the company has expanded electronic payments to billions of people who previously relied on cash, enabling commerce across 200+ countries and democratizing access to the global economy [1][2]. The cause has been partially validated by decades of consistent network expansion, but Visa's strategic decisions are more often driven by revenue maximization (opposing interchange fee regulation, maintaining network exclusivity) than purpose alignment, and the exploitative fee structures alleged in antitrust litigation undermine the 'uplift everyone' narrative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Visa maintains a stable leadership structure with CEO McInerney's smooth succession from former CEO Al Kelly, and the company employs 34,100 people with competitive technology-sector compensation [2]. No major leadership disruptions, layoffs, or cultural controversies emerged from research. However, no specific evidence of exceptional trust, empowerment, or above-average retention distinguishes Visa from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McInerney has explicitly framed competition from Mastercard, PayPal, and fintech challengers as driving innovation rather than as threats to destroy. His public statements on stablecoins and AI agents acknowledge that these technologies will reshape payments and position Visa as orchestrating change rather than resisting it — a hallmark of infinite competitive thinking [2]. The $100M Generative AI Ventures initiative specifically invests in potential disruptors, learning from their innovations rather than trying to suppress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Visa has evolved significantly from a bankcard association to a technology platform, and McInerney's embrace of stablecoins, real-time payments, and AI agent commerce shows willingness to adapt to potentially disruptive technologies [2]. However, the core business model — earning fees on transaction volume flowing through VisaNet — has not fundamentally changed in 68 years. The expansion into value-added services ($3.2B/quarter) represents diversification within the same payments ecosystem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Visa has invested $12B in technology over five years and committed $100M specifically to Generative AI Ventures, demonstrating sustained investment in future capabilities [2]. The proactive integration of stablecoin settlement — a technology that could theoretically bypass card networks — shows willingness to embrace rather than fight disruption. However, Visa's dominant market position reduces the personal and institutional cost of these investments; betting on technology from a position of 51% profit margins and 61% ROE is less courageous than doing so from a position of vulnerability.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Visa at $402.61 with a $756B market cap is the world's dominant payment network delivering exceptional quality metrics — 51% profit margin, 61% ROE, 15% revenue growth, and 12.9% five-year CAGR — through an asset-light toll-booth model that benefits from secular digitization of cash transactions [1]. Fiscal Q1 FY2026 demonstrated broad-based strength: net revenue of $10.9B (+15% YoY), payments volume approaching $4T (+8% YoY), and value-added services growing 28% to $3.2B, providing a high-margin growth vector beyond core interchange. AI is a net positive for Visa: CEO McInerney argues AI agents create more transactions, fraud detection models blocked $40B in one year, and the company has invested $12B in technology over five years [2]. The balance sheet is clean at 67.8% D/E with 22% payout ratio leaving ample room for buybacks and reinvestment.</w:t>
      </w:r>
    </w:p>
    <w:p>
      <w:pPr>
        <w:spacing w:after="120"/>
      </w:pPr>
      <w:r>
        <w:rPr>
          <w:rFonts w:ascii="Calibri" w:hAnsi="Calibri"/>
          <w:b w:val="0"/>
          <w:color w:val="3A4A28"/>
          <w:sz w:val="20"/>
        </w:rPr>
        <w:t>The bear case centers on premium valuation, regulatory risk, and potential disruption from alternative payment rails. At 26.8x forward earnings and a PEG of 1.81, Visa prices in sustained mid-teens growth that leaves limited margin for error — any deceleration in cross-border volumes or payment volume growth would challenge the premium [1]. Ongoing antitrust litigation alleging Visa abused its dominant market position to fix merchant fees represents a structural regulatory overhang that could compress interchange rates, the company's primary revenue driver [3]. Stablecoins and blockchain-based real-time payment systems could eventually bypass card networks for certain transaction types, and while Visa is proactively integrating these technologies, a meaningful shift away from card rails would reduce transaction fees on the largest payment categories. Shareholder proposals regarding lobbying transparency (13.6% vote) and online exploitation risk (8.1% vote) signal growing governance scrutiny, and the Exploitation negative attribution from Inspire Insight reflects ongoing litigation over the company's role in facilitating harmful content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Value-added services growth at 28% YoY reaching $3.2B quarterly revenue, expanding Visa beyond interchange fees into AI-powered fraud detection, risk analytics, and merchant services with higher retention and margin profile [1][2]</w:t>
      </w:r>
    </w:p>
    <w:p>
      <w:pPr>
        <w:spacing w:before="40" w:after="40"/>
        <w:ind w:left="283"/>
      </w:pPr>
      <w:r>
        <w:rPr>
          <w:rFonts w:ascii="Calibri" w:hAnsi="Calibri"/>
          <w:b/>
          <w:color w:val="4A6B25"/>
          <w:sz w:val="20"/>
        </w:rPr>
        <w:t xml:space="preserve">2. </w:t>
      </w:r>
      <w:r>
        <w:rPr>
          <w:rFonts w:ascii="Calibri" w:hAnsi="Calibri"/>
          <w:b w:val="0"/>
          <w:color w:val="3A4A28"/>
          <w:sz w:val="20"/>
        </w:rPr>
        <w:t>AI agent commerce and B2B payment digitization — CEO McInerney projects AI agents will increase transaction volumes as automated purchasing, supply chain payments, and business-to-business settlement digitize through Visa's network rails [2]</w:t>
      </w:r>
    </w:p>
    <w:p>
      <w:pPr>
        <w:spacing w:before="40" w:after="40"/>
        <w:ind w:left="283"/>
      </w:pPr>
      <w:r>
        <w:rPr>
          <w:rFonts w:ascii="Calibri" w:hAnsi="Calibri"/>
          <w:b/>
          <w:color w:val="4A6B25"/>
          <w:sz w:val="20"/>
        </w:rPr>
        <w:t xml:space="preserve">3. </w:t>
      </w:r>
      <w:r>
        <w:rPr>
          <w:rFonts w:ascii="Calibri" w:hAnsi="Calibri"/>
          <w:b w:val="0"/>
          <w:color w:val="3A4A28"/>
          <w:sz w:val="20"/>
        </w:rPr>
        <w:t>Secular cash-to-digital migration with approximately 85% of global transactions still conducted in cash, providing decades of payment volume growth as emerging markets and SMB transactions move to electronic rails through Visa's 200+ country network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26.8x forward earnings and 1.81 PEG leaves minimal margin of safety — payment volume growth deceleration from macro weakness or competitive pressure would compress the premium multiple given Visa's earnings sensitivity to transaction volumes [1]</w:t>
      </w:r>
    </w:p>
    <w:p>
      <w:pPr>
        <w:spacing w:before="40" w:after="40"/>
        <w:ind w:left="283"/>
      </w:pPr>
      <w:r>
        <w:rPr>
          <w:rFonts w:ascii="Calibri" w:hAnsi="Calibri"/>
          <w:b/>
          <w:color w:val="4A6B25"/>
          <w:sz w:val="20"/>
        </w:rPr>
        <w:t xml:space="preserve">2. </w:t>
      </w:r>
      <w:r>
        <w:rPr>
          <w:rFonts w:ascii="Calibri" w:hAnsi="Calibri"/>
          <w:b w:val="0"/>
          <w:color w:val="3A4A28"/>
          <w:sz w:val="20"/>
        </w:rPr>
        <w:t>Antitrust regulatory risk with ongoing litigation alleging Visa abused dominant market position to fix merchant fees — an adverse ruling could force interchange rate reductions that structurally compress Visa's primary revenue stream across all markets [3]</w:t>
      </w:r>
    </w:p>
    <w:p>
      <w:pPr>
        <w:spacing w:before="40" w:after="40"/>
        <w:ind w:left="283"/>
      </w:pPr>
      <w:r>
        <w:rPr>
          <w:rFonts w:ascii="Calibri" w:hAnsi="Calibri"/>
          <w:b/>
          <w:color w:val="4A6B25"/>
          <w:sz w:val="20"/>
        </w:rPr>
        <w:t xml:space="preserve">3. </w:t>
      </w:r>
      <w:r>
        <w:rPr>
          <w:rFonts w:ascii="Calibri" w:hAnsi="Calibri"/>
          <w:b w:val="0"/>
          <w:color w:val="3A4A28"/>
          <w:sz w:val="20"/>
        </w:rPr>
        <w:t>Alternative payment rail disruption from stablecoins, real-time payment systems (FedNow, UPI), and blockchain-based settlement that could bypass card networks for certain transaction types, reducing Visa's fee revenue on the fastest-growing payment categories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Visa's payment network is digital infrastructure that AI agents must transact through rather than replace — CEO McInerney stated on the fiscal Q2 2026 call that AI agents will create more transactions, not fewer, as automated purchasing, B2B payment digitization, and agentic commerce increase the velocity of money movement through electronic rails [2]. Visa's regulatory moat (PCI compliance, bank licensing relationships, cross-border settlement in 200+ currencies) creates barriers that AI startups cannot easily replicate. However, the stablecoin and real-time payment rail threat is real: blockchain-based settlement could eventually bypass card networks for certain transaction types, and Visa's proactive integration of stablecoin settlement acknowledges this risk. Antitrust litigation alleging Visa abused its dominant market position could also weaken network economics [3]. AI Opportunity (1/1): Visa generates meaningful AI revenue through its value-added services business ($3.2B quarterly, +28% YoY), which includes AI-powered fraud detection that blocked $40B in fraudulent transactions, risk management products, and data analytics services sold to merchants and financial institutions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Exploitation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Visa Q1 FY2026 Earnings Call — $10.9B Net Revenue (+15% YoY), EPS +15%, Payments Volume ~$4T (+8%), Value-Added Services $3.2B (+28% Constant Currency) — Yahoo Finance/GuruFocus, January 2026</w:t>
      </w:r>
    </w:p>
    <w:p>
      <w:pPr>
        <w:spacing w:before="20" w:after="20"/>
        <w:ind w:left="170"/>
      </w:pPr>
      <w:r>
        <w:rPr>
          <w:rFonts w:ascii="Calibri" w:hAnsi="Calibri"/>
          <w:b/>
          <w:color w:val="4A6B25"/>
          <w:sz w:val="15"/>
        </w:rPr>
        <w:t xml:space="preserve">2. </w:t>
      </w:r>
      <w:r>
        <w:rPr>
          <w:rFonts w:ascii="Calibri" w:hAnsi="Calibri"/>
          <w:b w:val="0"/>
          <w:color w:val="3A4A28"/>
          <w:sz w:val="17"/>
        </w:rPr>
        <w:t>Visa AI and Innovation Strategy — CEO McInerney on AI Agents, Stablecoins, and Future of Payments; $12B Technology Investment; $100M Gen AI Ventures; Agentic AI Engineering Deployment; $40B Fraud Prevention — PYMNTS, Yahoo Finance, Bloomberg Intelligence, National CIO Review, 2025-2026</w:t>
      </w:r>
    </w:p>
    <w:p>
      <w:pPr>
        <w:spacing w:before="20" w:after="20"/>
        <w:ind w:left="170"/>
      </w:pPr>
      <w:r>
        <w:rPr>
          <w:rFonts w:ascii="Calibri" w:hAnsi="Calibri"/>
          <w:b/>
          <w:color w:val="4A6B25"/>
          <w:sz w:val="15"/>
        </w:rPr>
        <w:t xml:space="preserve">3. </w:t>
      </w:r>
      <w:r>
        <w:rPr>
          <w:rFonts w:ascii="Calibri" w:hAnsi="Calibri"/>
          <w:b w:val="0"/>
          <w:color w:val="3A4A28"/>
          <w:sz w:val="17"/>
        </w:rPr>
        <w:t>Visa ESG and Governance — Lobbying Transparency Proposal (13.6% Vote), Online Exploitation Lawsuits, Antitrust Litigation, Sustainalytics Strong Management Rating, 90% Emissions Reduction vs 2014 — SEC DEF 14A, Hargreaves Lansdown, Payment Expert,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