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WDS</w:t>
      </w:r>
      <w:r>
        <w:rPr>
          <w:rFonts w:ascii="Calibri" w:hAnsi="Calibri"/>
          <w:b/>
          <w:color w:val="1A2010"/>
          <w:sz w:val="40"/>
        </w:rPr>
        <w:t xml:space="preserve">  Woodside Energy Group Ltd.</w:t>
      </w:r>
    </w:p>
    <w:p>
      <w:pPr>
        <w:spacing w:after="120"/>
      </w:pPr>
      <w:r>
        <w:rPr>
          <w:rFonts w:ascii="Calibri" w:hAnsi="Calibri"/>
          <w:b/>
          <w:color w:val="6E8450"/>
          <w:sz w:val="18"/>
        </w:rPr>
        <w:t>DIVIDEND SLEEVE · 2026-09-28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Australia</w:t>
      </w:r>
    </w:p>
    <w:p>
      <w:pPr>
        <w:spacing w:after="80"/>
      </w:pPr>
      <w:r>
        <w:rPr>
          <w:rFonts w:ascii="Calibri" w:hAnsi="Calibri"/>
          <w:b w:val="0"/>
          <w:color w:val="3A4A28"/>
          <w:sz w:val="20"/>
        </w:rPr>
        <w:t>Woodside Energy Group is an Australian-headquartered global energy company engaged in the exploration, development, production, and marketing of hydrocarbons, primarily LNG, pipeline gas, crude oil, and condensate. Key assets include Pluto LNG, North West Shelf, Wheatstone, and the Scarborough project under development. Founded in 1954, Woodside merged with BHP Petroleum in 2022, transforming into a top-tier global LNG producer. Full year 2025 revenue was $12.98B with record production of 198.8 MMboe (545 Mboe/day). The company targets 50% sales volume growth by 2032 to over 300 MMboe.</w:t>
      </w:r>
    </w:p>
    <w:p>
      <w:r>
        <w:rPr>
          <w:rFonts w:ascii="Calibri" w:hAnsi="Calibri"/>
          <w:b/>
          <w:color w:val="6E8450"/>
          <w:sz w:val="18"/>
        </w:rPr>
        <w:t>4,693 Employees · https://www.woodside.com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BHP Petroleum merger in 2022 was a transformative business combination that doubled Woodside's production base and created a diversified global LNG portfolio. The Sangomar project in Senegal brought first oil in 2024, diversifying geographic exposure beyond Australia [1]. These represent significant strategic execution. AI Deployment (1/2): Woodside is in the 'scaling phase' of its agentic AI strategy, building on years of machine learning for maintenance optimization and production analytics. The partnership with AWS for supply chain modernization and generative AI, combined with an AI Council providing enterprise-wide governance, demonstrates structured AI adoption — though no specific cost savings or revenue figures are quantified [2]. Market Share (1/2): Woodside is a major global LNG producer but not dominant — it competes with Shell, QatarEnergy, Chevron, and TotalEnergies. The company is a top-10 global player with a strong Asia-Pacific position [1]. Product Pipeline (2/2): The Scarborough LNG project ($12B+) has specific timelines with first LNG expected 2026-2027, and management targets 50% sales volume growth to 300+ MMboe by 2032 with ~6% CAGR in sales and cash flow [1]. Trion development in Mexico provides additional pipeline visibility. R&amp;D Intensity (0/1): As an upstream energy company, Woodside's R&amp;D spend as a percentage of revenue is below the energy sector average, with innovation focused on operational excellence rather than frontier technology.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Woodside describes itself as 'A Global Energy Company' with a culture built on 'innovation and inclusion,' focused on 'growing outstanding leaders, building diverse capability and driving an inclusive, high-performing culture' [2]. This identifies what the company does and its cultural values but does not articulate a deeper purpose or vision of a better future — it is functionally interchangeable with any major energy company's purpose statement. Community Impact (0/2): No evidence of distinctive charitable programs, community investment, or foundation activity was found beyond standard corporate social responsibility disclosures. Employee Retention (0/2): Acting CEO Liz Westcott has led since December 2025 after former CEO Meg O'Neill departed for BP in April 2026, introducing leadership instability [2]. No specific retention metrics or tenure data were found.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(dividend stock). Woodside demonstrates strong profitability with profit margin of 22.21% above the 20% target, and D/E of 32.76% well below the 70% target [4]. Forward P/E of 11.61 and revenue growth YoY of 13% both exceed their targets. The primary drags are ROE of 7.68%, roughly half the 15% target (scoring 0.51), and weak dividend growth metrics — Woodside's commodity-linked dividend has declined from 2022 peak levels, with no consecutive years of dividend growth and negative 5yr dividend growth CAGR due to falling commodity prices from post-Ukraine crisis peaks [1]. The payout ratio of 69.78% is above the 40% target (scoring 0.50). The stock clears the liquidity floor at ~$14.2M daily trading volume. Revenue growth 5yr CAGR excluded due to BHP merger distorting the baseline.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Woodside operates as a finite game player optimizing for near-term commodity cycles rather than building toward an enduring purpose. The abandonment of its $5B new energy investment target and strategic review of the Beaumont ammonia project signal retreat from the energy transition in favor of doubling down on fossil fuel extraction [3]. Former CEO Meg O'Neill's dismissal of climate activists as 'over-zealous' and 'ideological' reflects finite competitive framing. The BHP merger and Scarborough development demonstrate strategic ambition but are driven by volume growth and cash flow targets rather than a Just Cause.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Woodside exists to produce and sell hydrocarbons — its stated purpose as 'A Global Energy Company' is a description, not a cause. The company abandoned its longer-term $5B new energy investment target and initiated strategic review of the Beaumont ammonia project, retreating from the only plausible 'better future' narrative the company had [3]. Former CEO O'Neill's dismissal of young climate activists as 'over-zealous' explicitly rejects the premise that the company should aspire to something beyond maximizing hydrocarbon production. Sinek would identify this as a company playing to win this quarter.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Woodside has operated since 1954 with generally stable organizational culture and 4,693 employees. The company invested in leadership development through a partnership with AGSM @ UNSW Business School to build AI proficiency and leadership capabilities across the organization [2]. However, the CEO departure (Meg O'Neill to BP in April 2026) and appointment of Acting CEO Liz Westcott in December 2025 introduces leadership uncertainty. No specific retention metrics are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Woodside's competitive language and positioning focuses on market share, production volumes, and cost competitiveness rather than learning from rivals' strengths. The company benchmarks against Shell, Chevron, and TotalEnergies on operational metrics but does not demonstrate an infinite competitive mindset oriented toward self-improvement through rivalry.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BHP Petroleum merger in 2022 fundamentally expanded Woodside's asset base and geographic footprint, and the Sangomar project in Senegal diversified beyond the traditional Australian focus [1]. These are meaningful strategic evolutions. However, the company is doubling down on its legacy oil and gas business model rather than adapting to the energy transition — the retreat from new energy investment targets shows inflexibility on the central strategic question facing the industry [3].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Scarborough LNG project represents a massive $12B+ capital commitment with multi-year development timelines, demonstrating willingness to make long-term bets [1]. The BHP merger was a bold strategic move executed during commodity price volatility. However, the abandonment of clean energy targets to protect near-term returns is the opposite of Sinek's courage — it prioritizes short-term financial performance over long-term strategic positioning for the energy transition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Woodside Energy at 11.6x forward earnings with a 5.26% dividend yield offers deep value exposure to a top-tier global LNG producer with record production of 198.8 MMboe in 2025 and a clear growth trajectory targeting 50% volume growth to 300+ MMboe by 2032 [1]. The Scarborough LNG project coming online in 2026-2027 provides the next leg of production growth, while the low D/E of 32.76% and $4.5B cash position provide balance sheet flexibility. Management guides approximately $9B in net operating cash flow by 2032, representing 6%+ CAGR. The structural tailwind from AI-driven data center power demand supports long-term natural gas prices, and Woodside's Asia-Pacific LNG positioning serves the fastest-growing demand centers.</w:t>
      </w:r>
    </w:p>
    <w:p>
      <w:pPr>
        <w:spacing w:after="120"/>
      </w:pPr>
      <w:r>
        <w:rPr>
          <w:rFonts w:ascii="Calibri" w:hAnsi="Calibri"/>
          <w:b w:val="0"/>
          <w:color w:val="3A4A28"/>
          <w:sz w:val="20"/>
        </w:rPr>
        <w:t>The bear case centers on commodity price exposure, ESG risks, and leadership instability. Woodside's revenue declined from $16.8B in 2022 to $13.0B in 2025 as energy prices normalized from post-Ukraine crisis peaks, and NPAT fell 24% YoY in 2025 to $2.72B [1]. The payout ratio of 69.78% is unsustainably high relative to targets, and the dividend has declined from 2022 levels — there is no consecutive growth streak, making the yield precarious if commodity prices weaken further. Woodside faces mounting ESG pressure: Glass Lewis issued an ESG alert, shareholders voted down the climate plan, activists have accused the company of greenwashing, and the abandoned $5B new energy target intensifies reputational risk with ESG-focused investors [3]. The CEO departure (Meg O'Neill to BP) and appointment of Acting CEO Liz Westcott creates leadership uncertainty at a critical execution moment as Scarborough approaches first production. ROE of only 7.68% suggests capital is not being deployed efficiently relative to the asset base inherited from the BHP merger.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Scarborough LNG project first production in 2026-2027, adding significant production volumes and driving toward the 300+ MMboe by 2032 target — the single largest growth driver in Woodside's portfolio [1]</w:t>
      </w:r>
    </w:p>
    <w:p>
      <w:pPr>
        <w:spacing w:before="40" w:after="40"/>
        <w:ind w:left="283"/>
      </w:pPr>
      <w:r>
        <w:rPr>
          <w:rFonts w:ascii="Calibri" w:hAnsi="Calibri"/>
          <w:b/>
          <w:color w:val="4A6B25"/>
          <w:sz w:val="20"/>
        </w:rPr>
        <w:t xml:space="preserve">2. </w:t>
      </w:r>
      <w:r>
        <w:rPr>
          <w:rFonts w:ascii="Calibri" w:hAnsi="Calibri"/>
          <w:b w:val="0"/>
          <w:color w:val="3A4A28"/>
          <w:sz w:val="20"/>
        </w:rPr>
        <w:t>Structural demand growth for natural gas from AI data centers requiring reliable baseload power, supporting long-term LNG pricing and validating Woodside's hydrocarbon-focused strategy [1]</w:t>
      </w:r>
    </w:p>
    <w:p>
      <w:pPr>
        <w:spacing w:before="40" w:after="40"/>
        <w:ind w:left="283"/>
      </w:pPr>
      <w:r>
        <w:rPr>
          <w:rFonts w:ascii="Calibri" w:hAnsi="Calibri"/>
          <w:b/>
          <w:color w:val="4A6B25"/>
          <w:sz w:val="20"/>
        </w:rPr>
        <w:t xml:space="preserve">3. </w:t>
      </w:r>
      <w:r>
        <w:rPr>
          <w:rFonts w:ascii="Calibri" w:hAnsi="Calibri"/>
          <w:b w:val="0"/>
          <w:color w:val="3A4A28"/>
          <w:sz w:val="20"/>
        </w:rPr>
        <w:t>Permanent CEO appointment to replace Acting CEO Liz Westcott could provide strategic clarity and restore investor confidence in the management team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exposure — Woodside's revenue and dividend are directly tied to global LNG, oil, and gas prices, which declined ~23% from 2022 peaks and remain vulnerable to demand slowdowns, particularly from a Chinese economic downturn [1]</w:t>
      </w:r>
    </w:p>
    <w:p>
      <w:pPr>
        <w:spacing w:before="40" w:after="40"/>
        <w:ind w:left="283"/>
      </w:pPr>
      <w:r>
        <w:rPr>
          <w:rFonts w:ascii="Calibri" w:hAnsi="Calibri"/>
          <w:b/>
          <w:color w:val="4A6B25"/>
          <w:sz w:val="20"/>
        </w:rPr>
        <w:t xml:space="preserve">2. </w:t>
      </w:r>
      <w:r>
        <w:rPr>
          <w:rFonts w:ascii="Calibri" w:hAnsi="Calibri"/>
          <w:b w:val="0"/>
          <w:color w:val="3A4A28"/>
          <w:sz w:val="20"/>
        </w:rPr>
        <w:t>Escalating ESG and legal risks — greenwashing allegations, shareholder climate plan rejection, Glass Lewis ESG alert, and the Australian Conservation Foundation lawsuit create regulatory, reputational, and litigation overhang [3]</w:t>
      </w:r>
    </w:p>
    <w:p>
      <w:pPr>
        <w:spacing w:before="40" w:after="40"/>
        <w:ind w:left="283"/>
      </w:pPr>
      <w:r>
        <w:rPr>
          <w:rFonts w:ascii="Calibri" w:hAnsi="Calibri"/>
          <w:b/>
          <w:color w:val="4A6B25"/>
          <w:sz w:val="20"/>
        </w:rPr>
        <w:t xml:space="preserve">3. </w:t>
      </w:r>
      <w:r>
        <w:rPr>
          <w:rFonts w:ascii="Calibri" w:hAnsi="Calibri"/>
          <w:b w:val="0"/>
          <w:color w:val="3A4A28"/>
          <w:sz w:val="20"/>
        </w:rPr>
        <w:t>Leadership vacuum with Acting CEO since December 2025 and no permanent successor announced, coinciding with Scarborough project execution that requires decisive capital allocation decisions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Woodside's core business — exploration, development, and production of LNG and crude oil — involves physical-world operations, massive capital infrastructure, regulatory permitting, and geological expertise that AI structurally cannot displace [1]. If anything, the AI boom increases demand for Woodside's products as data center electricity consumption drives natural gas demand globally. LNG liquefaction plants, offshore platforms, and subsea infrastructure are physical assets with multi-decade operating lives. No analyst has flagged AI as a substitution risk for Woodside's business model. AI Opportunity (0/1): While Woodside uses AI internally for maintenance optimization, supply chain management, and production analytics through its AWS partnership, the company does not generate revenue from AI-related products or services — it is a consumer, not a seller, of AI technology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Woodside Energy Full Year 2025 Results — Revenue $12.98B, NPAT $2.72B, Record Production 198.8 MMboe, 50% Volume Growth Target by 2032, BusinessWire, February 2026</w:t>
      </w:r>
    </w:p>
    <w:p>
      <w:pPr>
        <w:spacing w:before="20" w:after="20"/>
        <w:ind w:left="170"/>
      </w:pPr>
      <w:r>
        <w:rPr>
          <w:rFonts w:ascii="Calibri" w:hAnsi="Calibri"/>
          <w:b/>
          <w:color w:val="4A6B25"/>
          <w:sz w:val="15"/>
        </w:rPr>
        <w:t xml:space="preserve">2. </w:t>
      </w:r>
      <w:r>
        <w:rPr>
          <w:rFonts w:ascii="Calibri" w:hAnsi="Calibri"/>
          <w:b w:val="0"/>
          <w:color w:val="3A4A28"/>
          <w:sz w:val="17"/>
        </w:rPr>
        <w:t>Woodside Innovation and Leadership — Agentic AI Strategy, AWS Partnership, UNSW Leadership Development, Acting CEO Liz Westcott, AI Magazine, UNSW BusinessThink, 2025-2026</w:t>
      </w:r>
    </w:p>
    <w:p>
      <w:pPr>
        <w:spacing w:before="20" w:after="20"/>
        <w:ind w:left="170"/>
      </w:pPr>
      <w:r>
        <w:rPr>
          <w:rFonts w:ascii="Calibri" w:hAnsi="Calibri"/>
          <w:b/>
          <w:color w:val="4A6B25"/>
          <w:sz w:val="15"/>
        </w:rPr>
        <w:t xml:space="preserve">3. </w:t>
      </w:r>
      <w:r>
        <w:rPr>
          <w:rFonts w:ascii="Calibri" w:hAnsi="Calibri"/>
          <w:b w:val="0"/>
          <w:color w:val="3A4A28"/>
          <w:sz w:val="17"/>
        </w:rPr>
        <w:t>Woodside ESG Controversies — Greenwashing Allegations, Climate Plan Rejection, $5B New Energy Target Abandoned, Glass Lewis ESG Alert, CEO Climate Comments, The Fifth Estate, Greenly, Responsible Investor,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WDS Key Statistics: Forward P/E 11.61x, D/E 32.76%, ROE 7.68%, Dividend Yield 5.26%, Stock Price $22.04,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