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WEC</w:t>
      </w:r>
      <w:r>
        <w:rPr>
          <w:rFonts w:ascii="Calibri" w:hAnsi="Calibri"/>
          <w:b/>
          <w:color w:val="1A2010"/>
          <w:sz w:val="40"/>
        </w:rPr>
        <w:t xml:space="preserve">  WEC Energy Group, Inc.</w:t>
      </w:r>
    </w:p>
    <w:p>
      <w:pPr>
        <w:spacing w:after="120"/>
      </w:pPr>
      <w:r>
        <w:rPr>
          <w:rFonts w:ascii="Calibri" w:hAnsi="Calibri"/>
          <w:b/>
          <w:color w:val="6E8450"/>
          <w:sz w:val="18"/>
        </w:rPr>
        <w:t>DIVIDEND SLEEVE · 2026-09-10 · Inspire: 41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&amp; Gas · NYSE · United States</w:t>
      </w:r>
    </w:p>
    <w:p>
      <w:pPr>
        <w:spacing w:after="80"/>
      </w:pPr>
      <w:r>
        <w:rPr>
          <w:rFonts w:ascii="Calibri" w:hAnsi="Calibri"/>
          <w:b w:val="0"/>
          <w:color w:val="3A4A28"/>
          <w:sz w:val="20"/>
        </w:rPr>
        <w:t>WEC Energy Group is a regulated utility holding company providing electric and natural gas services to 4.7 million customers across Wisconsin, Illinois, Michigan, and Minnesota through subsidiaries including Wisconsin Electric Power Company, Wisconsin Gas, and We Energies. The company operates 72,800 miles of electric distribution lines and 48,500 miles of natural gas distribution and transmission lines. Under CEO and Chairman Scott Lauber (Chairman since May 2026), WEC has a $37.5B five-year capital plan through 2030 with approximately 15% of the total asset base expected to serve very large data center customers including Microsoft and Oracle by the end of the period. Q2 2026 EPS of $0.91 beat consensus of $0.83, and the company reaffirmed 2026 EPS guidance of $5.51-$5.61.</w:t>
      </w:r>
    </w:p>
    <w:p>
      <w:r>
        <w:rPr>
          <w:rFonts w:ascii="Calibri" w:hAnsi="Calibri"/>
          <w:b/>
          <w:color w:val="6E8450"/>
          <w:sz w:val="18"/>
        </w:rPr>
        <w:t>7,500 Employees · https://www.wecenergygroup.com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WEC Energy's $37.5B capital plan includes significant investment in renewable energy (solar, wind, battery storage) and grid modernization, representing a meaningful but industry-standard transition from fossil fuels [1]. This is incremental evolution driven by regulatory mandates and economics, not a transformative pivot that differentiates WEC from utility peers. AI Deployment (0/2): No evidence of AI-powered products, services, or quantified AI-driven operational efficiencies was identified. While WEC benefits from AI data center electricity demand from customers like Microsoft and Oracle, the company is not itself deploying AI in differentiated ways [2]. Market Share (1/2): WEC is the dominant regulated utility in its Wisconsin service territory, serving 4.7M customers with limited competition by regulatory design. Market 'share' is structurally protected but not earned through competitive dynamics. Product Pipeline (1/2): The $37.5B capital plan provides specific investment visibility through 2030+, with renewable generation projects, transmission upgrades, data center infrastructure, and grid modernization on defined timelines. The company expects a 3.9 gigawatt increase in the next five years from data center projects [2]. R&amp;D Intensity (0/1): Utilities are among the least R&amp;D-intensive industries. WEC explores emerging technologies (renewable natural gas, hydrogen, long-duration battery storage) but capital spending is focused on infrastructure deployment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WEC Energy describes its purpose as 'providing vital services' to customers and communities across four Midwestern states, with a strong emphasis on customer service, efficiency, and safety [2]. This is clear and identifies a genuine social function — reliable, affordable energy is essential — but it is interchangeable with any regulated utility's positioning and does not articulate a distinctive vision. Community Impact (1/2): As a regulated utility serving 4.7M customers, WEC has an inherent community role including community investment programs, charitable giving, and local economic support through its Wisconsin base. The company's ESG reporting shows commitment to STEM education, workforce development, and community resilience, though specific foundation programs or distinctive dollar amounts were not prominent. Employee Retention (1/2): Utility companies typically have above-average employee retention due to competitive compensation, pensions, and stable employment. Scott Lauber's promotion from within to CEO in 2022 and elevation to Chairman in May 2026, along with predecessor Gale Klappa as Chairman Emeritus, signals a culture that values long-term leadership and internal development [1][2]. Insider Buying (0/2): No evidence of meaningful insider buying was identified in the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and WEC Energy excels across most dividend infrastructure metrics. ROE of 23.15% significantly exceeds the 15% target, demonstrating strong capital efficiency for a regulated utility [4]. Profit margin of 16.24% approaches the 20% target, above utility peer averages. Forward P/E of 20.74x just misses the 20x target (0.98, 1x weight), reflecting the premium valuation investors assign to WEC's execution consistency. H1 2026 consolidated revenues of $5.5B grew 6.5% ($337M) over H1 2025, driven by higher electric and gas consumption and data center demand [1]. The dividend profile is strong: 22 consecutive years of growth, 3.57% current yield ($3.81 annual, increased 6.7% in January 2026), and approximately 7% five-year dividend growth CAGR (1.0 at 2x weight) [3]. Payout ratio of 73.1% is above the 40% target (0.45) but within WEC's stated 65-70% target range, appropriate for a regulated utility with visible earnings. The key weakness is D/E of 158% ($21B+ total debt), typical for capital-intensive regulated utilities but well above the 70% target (0.62, 1x weight). The 5-year revenue CAGR of approximately 6% reflects regulated rate-case-driven growth supplemented by data center demand [4]. WEC has met or exceeded the top end of earnings guidance for 22 consecutive years, demonstrating exceptional execution consistency [1]. Weighted sum ~10.4/12 rounds to 9. Liquidity cleared at ~$253M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WEC Energy Group operates with the steady, long-term orientation characteristic of well-managed regulated utilities — 22 consecutive years of dividend increases, 22 years of meeting or exceeding earnings guidance, and a $37.5B capital plan stretching into the 2030s demonstrate genuine long-horizon thinking. The clean energy transition investment and data center infrastructure build reflect willingness to evolve the business for future relevance. However, regulated utilities are inherently constrained in their ability to demonstrate Sinek's infinite game characteristics — they don't have Just Causes that transcend their regulated mandate, they don't face competitive threats requiring existential flexibility, and their strategic decisions are heavily shaped by regulators rather than leadership vision.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WEC's implicit purpose — providing reliable, affordable energy to 4.7M Midwestern customers while transitioning to cleaner generation — is genuine and connects the company to community wellbeing. The $37.5B capital plan for renewables and infrastructure, commitment to net-zero carbon by 2050, and exit from coal by 2035 demonstrate multi-decade commitment to a cleaner energy future [1][3]. The data center infrastructure build adds a dimension of enabling the AI-driven economy. However, this cause is mandated by regulators and economics as much as by leadership conviction — every regulated utility is pursuing a similar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WEC's leadership stability is notable — Gale Klappa's long tenure as Chairman (now Chairman Emeritus), Scott Lauber's promotion from within to CEO in 2022 and elevation to Chairman in May 2026, demonstrating orderly internal succession [1][2]. The company's 22-year streak of meeting or exceeding guidance implies a high-functioning organization where teams execute reliably. Utility cultures generally feature long employee tenures and above-average benefits. However, no specific data on employee empowerment, psychological safety, or cultural practices distinguishes WEC from typical utility peers.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regulated utility with exclusive service territories, WEC does not have direct competitors in the traditional sense. The company does not discuss worthy rivals because it does not face competitive threats to its core regulated business. The Public Service Commission of Wisconsin approved special rates for large customers at WEC's request, reflecting a regulatory relationship rather than competitive dynamics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WEC is executing a meaningful generation fleet transition from coal and natural gas toward solar, wind, and battery storage as part of its $37.5B capital plan, with a target to exit coal entirely by 2035 [1][3]. The pivot to serve AI data center demand — expecting 15% of the asset base to serve very large customers by 2030 — represents a new strategic direction that repositions the utility for the AI-driven economy [2]. However, the core business model (regulated utility with rate-case-driven returns) has not changed, and these transitions are driven by regulatory mandates, declining renewable costs, and market demand rather than a voluntary existential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WEC's $37.5B capital plan, 6.7% dividend increase, and long-term EPS growth guidance of 7-8% annually through 2030 demonstrate willingness to invest heavily for the long term [1][3]. The commitment to infrastructure investment for data center demand — building generation and transmission capacity before all contracts are fully secured — shows confidence in the structural demand thesis. However, regulated utility investments earn approved returns with limited downside risk — the 'courage' is constrained when regulators guarantee cost recovery on approved capital projects.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WEC Energy Group is a best-in-class regulated utility offering a compelling combination of income, growth, and execution reliability. The company has delivered or exceeded the top end of earnings guidance for 22 consecutive years — an extraordinary track record that justifies the premium valuation [1]. Q2 2026 EPS of $0.91 beat consensus of $0.83, and full-year 2026 guidance of $5.51-$5.61 was reaffirmed with long-term growth of 7-8% annually through 2030 [1]. At 3.57% current yield with 22 consecutive years of dividend increases at approximately 7% CAGR, the dividend provides a growing income stream with strong coverage from regulated earnings [3]. The $37.5B capital plan includes significant data center infrastructure, with Microsoft and Oracle-related projects driving a 3.9 GW load increase over five years — approximately 15% of the total asset base will serve data center customers by 2030, providing a differentiated growth catalyst versus utility peers [2]. ROE of 23.15% is exceptional for a regulated utility, and the Inspire Impact Score of 41 (ALIGNED) with zero negative attributions makes WEC a faith-friendly income investment.</w:t>
      </w:r>
    </w:p>
    <w:p>
      <w:pPr>
        <w:spacing w:after="120"/>
      </w:pPr>
      <w:r>
        <w:rPr>
          <w:rFonts w:ascii="Calibri" w:hAnsi="Calibri"/>
          <w:b w:val="0"/>
          <w:color w:val="3A4A28"/>
          <w:sz w:val="20"/>
        </w:rPr>
        <w:t>The primary risk is the leveraged balance sheet and valuation premium. D/E of 158% and $21B+ in total debt create sensitivity to interest rate movements — rising rates increase borrowing costs on the $37.5B capital plan while compressing the utility sector's valuation premium versus fixed income alternatives [4]. The forward P/E of 20.74x and payout ratio of 73.1% (above WEC's 65-70% target range) leave limited margin of safety if earnings growth slows below the 7-8% guidance range. Q2 2026 revenue of $2.06B missed the $2.11B consensus estimate despite the EPS beat, suggesting cost discipline is compensating for softer-than-expected top-line growth in some quarters [1]. Data center demand concentration — relying on Microsoft and Oracle for a significant share of incremental load growth — creates customer concentration risk if projects are delayed or scaled back. If regulators deny or delay rate case approvals, or if construction costs on the renewables capital plan escalate, the carefully calibrated earnings-growth-to-dividend-payout equation could be disrupted. The MSCI ESG rating of AA reflects strong practices but also means WEC's environmental commitments create compliance costs that could pressure margins if regulatory recovery lags spending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electricity demand driving incremental generation and transmission investment opportunities with Microsoft and Oracle projects — 3.9 GW of expected load growth and 15% of asset base serving data center customers by 2030 could accelerate rate base growth beyond the current $37.5B plan [1][2]</w:t>
      </w:r>
    </w:p>
    <w:p>
      <w:pPr>
        <w:spacing w:before="40" w:after="40"/>
        <w:ind w:left="283"/>
      </w:pPr>
      <w:r>
        <w:rPr>
          <w:rFonts w:ascii="Calibri" w:hAnsi="Calibri"/>
          <w:b/>
          <w:color w:val="4A6B25"/>
          <w:sz w:val="20"/>
        </w:rPr>
        <w:t xml:space="preserve">2. </w:t>
      </w:r>
      <w:r>
        <w:rPr>
          <w:rFonts w:ascii="Calibri" w:hAnsi="Calibri"/>
          <w:b w:val="0"/>
          <w:color w:val="3A4A28"/>
          <w:sz w:val="20"/>
        </w:rPr>
        <w:t>Continued earnings guidance beats extending the 22-year streak of meeting or exceeding the top end of guidance, reinforcing the valuation premium versus utility peers — Q2 2026 EPS of $0.91 beating $0.83 consensus continues this trajectory [1]</w:t>
      </w:r>
    </w:p>
    <w:p>
      <w:pPr>
        <w:spacing w:before="40" w:after="40"/>
        <w:ind w:left="283"/>
      </w:pPr>
      <w:r>
        <w:rPr>
          <w:rFonts w:ascii="Calibri" w:hAnsi="Calibri"/>
          <w:b/>
          <w:color w:val="4A6B25"/>
          <w:sz w:val="20"/>
        </w:rPr>
        <w:t xml:space="preserve">3. </w:t>
      </w:r>
      <w:r>
        <w:rPr>
          <w:rFonts w:ascii="Calibri" w:hAnsi="Calibri"/>
          <w:b w:val="0"/>
          <w:color w:val="3A4A28"/>
          <w:sz w:val="20"/>
        </w:rPr>
        <w:t>Regulatory approval of renewable generation projects and data center infrastructure investments converting planned capital spending into earnings-accretive rate base additions at authorized ROE of 23%+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Rising interest rates increasing borrowing costs on $21B+ of existing debt and the $37.5B capital plan, compressing margins and making utility dividend yields less attractive relative to fixed income alternatives, particularly with D/E already at 158% [4]</w:t>
      </w:r>
    </w:p>
    <w:p>
      <w:pPr>
        <w:spacing w:before="40" w:after="40"/>
        <w:ind w:left="283"/>
      </w:pPr>
      <w:r>
        <w:rPr>
          <w:rFonts w:ascii="Calibri" w:hAnsi="Calibri"/>
          <w:b/>
          <w:color w:val="4A6B25"/>
          <w:sz w:val="20"/>
        </w:rPr>
        <w:t xml:space="preserve">2. </w:t>
      </w:r>
      <w:r>
        <w:rPr>
          <w:rFonts w:ascii="Calibri" w:hAnsi="Calibri"/>
          <w:b w:val="0"/>
          <w:color w:val="3A4A28"/>
          <w:sz w:val="20"/>
        </w:rPr>
        <w:t>Regulatory risk — denial or delay of rate case filings in Wisconsin, Illinois, Michigan, or Minnesota could create a gap between capital spending and authorized earnings recovery, pressuring the 73.1% payout ratio that already exceeds WEC's 65-70% target [1]</w:t>
      </w:r>
    </w:p>
    <w:p>
      <w:pPr>
        <w:spacing w:before="40" w:after="40"/>
        <w:ind w:left="283"/>
      </w:pPr>
      <w:r>
        <w:rPr>
          <w:rFonts w:ascii="Calibri" w:hAnsi="Calibri"/>
          <w:b/>
          <w:color w:val="4A6B25"/>
          <w:sz w:val="20"/>
        </w:rPr>
        <w:t xml:space="preserve">3. </w:t>
      </w:r>
      <w:r>
        <w:rPr>
          <w:rFonts w:ascii="Calibri" w:hAnsi="Calibri"/>
          <w:b w:val="0"/>
          <w:color w:val="3A4A28"/>
          <w:sz w:val="20"/>
        </w:rPr>
        <w:t>Data center customer concentration risk — significant reliance on Microsoft and Oracle for incremental load growth means project delays, cancellations, or regulatory challenges to special large-customer rates could create a gap in the growth trajectory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WEC Energy Group operates a regulated electric and natural gas utility — one of the most AI-immune business models in existence. AI cannot replace physical power generation, transmission lines, distribution infrastructure, natural gas pipelines, or the regulatory framework that governs utility operations [1]. The business requires massive physical infrastructure ($37.5B capital plan), complex regulatory relationships across four state jurisdictions, and real-time grid management that AI can augment but never substitute. Critically, AI is a direct demand tailwind: Microsoft's Fairwater data center facility is under construction in Mount Pleasant, Vantage Data Centers is developing in Port Washington, and WEC expects a 3.9 gigawatt increase in load over the next five years from data center demand [2]. Management confirmed demand from Microsoft and Oracle-related projects remains a major growth driver, with approximately 15% of the total asset base expected to serve very large customers by 2030 [1]. AI Opportunity (0/1): WEC does not generate revenue from AI products or services. While AI data center demand increases electricity consumption — an indirect benefit reflected in load growth — WEC has no AI-specific revenue streams or quantified AI-driven operational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WEC Energy Group Q2 2026 Earnings Call — EPS $0.91 (beat $0.83 consensus), Revenue $2.06B, Reaffirmed 2026 Guidance $5.51-$5.61, 7-8% Long-Term EPS Growth, August 2026</w:t>
      </w:r>
    </w:p>
    <w:p>
      <w:pPr>
        <w:spacing w:before="20" w:after="20"/>
        <w:ind w:left="170"/>
      </w:pPr>
      <w:r>
        <w:rPr>
          <w:rFonts w:ascii="Calibri" w:hAnsi="Calibri"/>
          <w:b/>
          <w:color w:val="4A6B25"/>
          <w:sz w:val="15"/>
        </w:rPr>
        <w:t xml:space="preserve">2. </w:t>
      </w:r>
      <w:r>
        <w:rPr>
          <w:rFonts w:ascii="Calibri" w:hAnsi="Calibri"/>
          <w:b w:val="0"/>
          <w:color w:val="3A4A28"/>
          <w:sz w:val="17"/>
        </w:rPr>
        <w:t>WEC Energy Group Data Center Demand — Microsoft Fairwater Facility, Oracle Projects, 3.9 GW Load Growth, 15% of Asset Base to Serve Large Customers by 2030, Daily Reporter/Data Centre Magazine, 2026</w:t>
      </w:r>
    </w:p>
    <w:p>
      <w:pPr>
        <w:spacing w:before="20" w:after="20"/>
        <w:ind w:left="170"/>
      </w:pPr>
      <w:r>
        <w:rPr>
          <w:rFonts w:ascii="Calibri" w:hAnsi="Calibri"/>
          <w:b/>
          <w:color w:val="4A6B25"/>
          <w:sz w:val="15"/>
        </w:rPr>
        <w:t xml:space="preserve">3. </w:t>
      </w:r>
      <w:r>
        <w:rPr>
          <w:rFonts w:ascii="Calibri" w:hAnsi="Calibri"/>
          <w:b w:val="0"/>
          <w:color w:val="3A4A28"/>
          <w:sz w:val="17"/>
        </w:rPr>
        <w:t>WEC Energy Group ESG and Dividend — MSCI AA Rating, Net-Zero 2050, Coal Exit 2035, 6.7% Dividend Increase to $3.81 Annual, Corporate Responsibility Report, 2025-2026</w:t>
      </w:r>
    </w:p>
    <w:p>
      <w:pPr>
        <w:spacing w:before="20" w:after="20"/>
        <w:ind w:left="170"/>
      </w:pPr>
      <w:r>
        <w:rPr>
          <w:rFonts w:ascii="Calibri" w:hAnsi="Calibri"/>
          <w:b/>
          <w:color w:val="4A6B25"/>
          <w:sz w:val="15"/>
        </w:rPr>
        <w:t xml:space="preserve">4. </w:t>
      </w:r>
      <w:r>
        <w:rPr>
          <w:rFonts w:ascii="Calibri" w:hAnsi="Calibri"/>
          <w:b w:val="0"/>
          <w:color w:val="3A4A28"/>
          <w:sz w:val="17"/>
        </w:rPr>
        <w:t>GuruFocus, Yahoo Finance — WEC Key Statistics: Forward P/E 20.74x, D/E 158%, ROE 23.15%, Profit Margin 16.24%, Stock Price $115.05,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