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WELL</w:t>
      </w:r>
      <w:r>
        <w:rPr>
          <w:rFonts w:ascii="Calibri" w:hAnsi="Calibri"/>
          <w:b/>
          <w:color w:val="1A2010"/>
          <w:sz w:val="40"/>
        </w:rPr>
        <w:t xml:space="preserve">  Welltower Inc.</w:t>
      </w:r>
    </w:p>
    <w:p>
      <w:pPr>
        <w:spacing w:after="120"/>
      </w:pPr>
      <w:r>
        <w:rPr>
          <w:rFonts w:ascii="Calibri" w:hAnsi="Calibri"/>
          <w:b/>
          <w:color w:val="6E8450"/>
          <w:sz w:val="18"/>
        </w:rPr>
        <w:t>GROWTH SLEEVE · 2026-09-04 · Inspire: 70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Healthcare Facilities · NYSE · United States</w:t>
      </w:r>
    </w:p>
    <w:p>
      <w:pPr>
        <w:spacing w:after="80"/>
      </w:pPr>
      <w:r>
        <w:rPr>
          <w:rFonts w:ascii="Calibri" w:hAnsi="Calibri"/>
          <w:b w:val="0"/>
          <w:color w:val="3A4A28"/>
          <w:sz w:val="20"/>
        </w:rPr>
        <w:t>Welltower Inc. is an S&amp;P 500 REIT positioned at the center of the silver economy, focused on rental housing for aging seniors across the United States, United Kingdom, and Canada. The company owns and operates a portfolio of 2,000+ seniors and wellness housing communities with a $173.7B market cap. Welltower views itself as an operating company in a real estate wrapper, driven by its proprietary Data Science platform and the Welltower Business System end-to-end operating platform.</w:t>
      </w:r>
    </w:p>
    <w:p>
      <w:r>
        <w:rPr>
          <w:rFonts w:ascii="Calibri" w:hAnsi="Calibri"/>
          <w:b/>
          <w:color w:val="6E8450"/>
          <w:sz w:val="18"/>
        </w:rPr>
        <w:t>712 Employees · https://www.welltower.com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Welltower has transformed from a passive healthcare REIT into an active operator, building the Welltower Business System and a proprietary Data Science platform that optimizes occupancy, pricing, and operations across 2,000+ communities [1]. Q2 2026 revenue of $3.54B (up 39.1% YoY) with record consolidated NOI growth of 35% validate this operational transformation [2]. AI Deployment (1/2): Welltower's Data Science platform uses ML and AI for predictive analytics on occupancy, pricing optimization, and operational benchmarking — CEO Mitra built the first data science platform in real estate a decade ago, progressing from machine learning to deep learning to AI, and launched an industry-first AI-based manager development program [3]. Market Share (2/2): Welltower is the largest publicly traded healthcare REIT globally at $173.7B market cap, with category-defining scale; $7.15B in investments closed YTD and $5B+ additional seniors housing acquisitions announced for H2 2026 [2]. Product Pipeline (1/2): Raised 2026 FFO guidance to $6.36-$6.44/share after Q2 beat, with 25% normalized FFO per share growth and active $12B+ investment pipeline [2]. R&amp;D Intensity (1/1): Hired Chief Innovation Officer with corporate venture focus, demonstrating above-peer investment in technology for a REIT sector where most peers invest minimally in R&amp;D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Welltower's stated purpose — creating vibrant communities for mature renters and older adults at the intersection of housing and hospitality — is specific, thoughtful, and connects to the larger purpose of dignified aging [3]. CEO Mitra's framing of 'a culture of owners' with a 'delayed gratification gene' and 'fiduciary gene' reflects genuine intentionality that differentiates from REIT peers. Community Impact (2/2): Welltower operates 2,000+ senior living communities directly impacting quality of life for aging populations across three countries, allocated $1.04B in green bond proceeds to eligible green building projects, and set a 25% Scope 1 &amp; 2 GHG reduction target by 2030 [4]. Employee Retention (1/2): The 712-person corporate team operates with an 'unbelievably flat organization' with junior analysts working directly with senior leadership, and the Board approved a 10-year Executive Continuity Program for CEO Mitra [3]. Glassdoor reviews note variability in leadership quality across teams. Insider Buying (0/2): Insider transactions show a multi-million-dollar insider move in late August 2026 but no confirmed pattern of meaningful net insider buying by multiple executives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Q2 2026 revenue of $3.54B surged 39.1% YoY with normalized FFO of $1.60/share growing 25%, driving raised FY2026 guidance to $6.36-$6.44 FFO/share [2]. D/E of 42.1% scores perfectly — conservative for a REIT [6]. Revenue growth YoY of 39.1% and 5yr CAGR of ~22.7% both exceed targets at full marks. However, ROE of 2.75% is depressed by REIT accounting (high depreciation), scoring 0.18, and profit margin of 9.69% scores 0.49 [6]. Forward P/E exceeds 60 (estimated ~90x on GAAP earnings), scoring 0, and forward PEG of ~5 also exceeds the 3.0 floor. Note: REITs are valued on FFO — at ~37x forward FFO ($6.40 midpoint), Welltower commands a premium but is not extreme for its growth profile. 15% dividend increase to $0.85/quarter ($3.40 annual) signals FFO-based sustainability. Liquidity cleared: 3.74M avg volume x $241.13 = $902M daily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Welltower under CEO Shankh Mitra demonstrates strong infinite-game characteristics — a clear purpose centered on dignified aging, courageous transformation from passive REIT to active operator, and genuine organizational reinvention through the Welltower Business System and Data Science platform. The Board's 10-year Executive Continuity Program signals deep institutional commitment to long-term thinking. However, the explicit framing of 'maximizing long-term shareholder returns' and variable Glassdoor reviews suggest some tension between financial ambition and cause-driven leadership.</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Welltower's cause — creating vibrant communities for aging populations at the intersection of housing and hospitality — is genuine and distinctive [3]. CEO Mitra articulates a clear vision of transforming senior living from institutional care to hospitality-grade living, and strategic decisions (shift to operator partnerships, technology-enabled operations, 10-year leadership commitment) consistently trace back to this purpose. However, the corporate framing of 'a Transformative New Era to Maximize Long-Term Shareholder Returns' introduces finite language.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Welltower's flat organizational structure gives junior employees direct access to senior leadership, and the 712-person corporate team enables close collaboration [3]. The 10-year Executive Continuity Program signals institutional stability. Glassdoor reviews reveal variability in leadership quality across teams, with some complaints about management style and work-life balance in the demanding culture. Trust level is adequate but not exceptional by Sinek's standards.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Welltower acknowledges peers like Ventas and AHR in the healthcare REIT space and uses competitive dynamics to improve its own operations. The emphasis on Data Science and the Welltower Business System as capability differentiators — rather than acquisitive competition or market share conquest — shows a mindset of self-improvement. Management frames competitive advantage in terms of operational capability building rather than competitor weakness [2][3].</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Under Mitra, Welltower fundamentally reinvented itself from a passive triple-net-lease healthcare REIT into an active operating company with a proprietary technology platform. The creation of the Welltower Business System, the decade-long investment in Data Science before AI became mainstream, and hiring a Chief Innovation Officer represent transformative strategic pivot that redefined the company's identity [3]. Genuine business model reinvention driven by purpose — Welltower chose to become an operator when peers remained passive landlords.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Mitra's decision to transform Welltower from a passive REIT into an active operator challenged the established healthcare REIT playbook, requiring heavy investment in technology, talent, and operating capabilities [3]. The company cut the dividend during COVID to preserve capital — painful for income investors but prioritizing long-term strength. The unprecedented 10-year CEO commitment signals conviction. $7.15B in YTD investments and $5B+ additional pipeline shows aggressive long-term capital deployment during elevated interest rates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Welltower is the dominant healthcare REIT riding the unstoppable demographic wave of 76 million baby boomers entering their 80s. Q2 2026 delivered record results with revenue of $3.54B (up 39.1% YoY), beating Wall Street's $3.36B estimate, and normalized FFO of $1.60/share growing 25% YoY [2]. Management raised FY2026 FFO guidance to $6.36-$6.44/share, with same-store occupancy up 330bps and unit revenue increasing 5.2% [2]. The $7.15B in investments closed YTD plus $5B+ additional pipeline demonstrates sustained acquisition capacity at scale. The operational transformation from passive REIT to technology-enabled operator — powered by a decade-old proprietary Data Science/AI platform — creates durable competitive advantages in occupancy optimization and operating efficiency that peers cannot replicate [3]. The 15% dividend increase to $3.40/year and Board's 10-year Executive Continuity Program reinforce long-term commitment. Inspire Impact score of 70 reflects exceptional alignment across 14 positive ESG attributions.</w:t>
      </w:r>
    </w:p>
    <w:p>
      <w:pPr>
        <w:spacing w:after="120"/>
      </w:pPr>
      <w:r>
        <w:rPr>
          <w:rFonts w:ascii="Calibri" w:hAnsi="Calibri"/>
          <w:b w:val="0"/>
          <w:color w:val="3A4A28"/>
          <w:sz w:val="20"/>
        </w:rPr>
        <w:t>The bear case centers on premium valuation and structural REIT constraints. At ~90x forward P/E (approximately 37x forward FFO of $6.40), Welltower is priced for perfection in a sector historically valued at 15-20x FFO [6]. The stock has appreciated substantially and trades ~20% above GuruFocus fair value estimate of $201. D/E of 42% is conservative, but total enterprise value of $192.8B implies significant debt that creates refinancing risk if rates remain elevated. Profit margin of 9.69% and ROE of 2.75% reflect capital-intensive, depreciation-heavy operations — GAAP metrics structurally understate economics for REITs. The 1.26% dividend yield disappoints income investors relative to REIT peers yielding 3-5%, and the 133% GAAP payout ratio signals the dividend is sustained by FFO, not GAAP earnings [6]. Revenue growth of 39% is substantially acquisition-driven and will normalize as the portfolio matures. Labor cost inflation in senior care remains a structural margin headwind.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Baby boomer demographic wave — 76M Americans entering 80+ age cohort creates structural demand for senior housing through 2035, with limited new supply after a decade of underbuilding driving sustained occupancy and rent growth [2]</w:t>
      </w:r>
    </w:p>
    <w:p>
      <w:pPr>
        <w:spacing w:before="40" w:after="40"/>
        <w:ind w:left="283"/>
      </w:pPr>
      <w:r>
        <w:rPr>
          <w:rFonts w:ascii="Calibri" w:hAnsi="Calibri"/>
          <w:b/>
          <w:color w:val="4A6B25"/>
          <w:sz w:val="20"/>
        </w:rPr>
        <w:t xml:space="preserve">2. </w:t>
      </w:r>
      <w:r>
        <w:rPr>
          <w:rFonts w:ascii="Calibri" w:hAnsi="Calibri"/>
          <w:b w:val="0"/>
          <w:color w:val="3A4A28"/>
          <w:sz w:val="20"/>
        </w:rPr>
        <w:t>Record investment activity with $7.15B closed YTD and $5B+ additional pipeline for H2 2026, expanding the portfolio at scale while same-store NOI growth of 35% demonstrates operating leverage [2]</w:t>
      </w:r>
    </w:p>
    <w:p>
      <w:pPr>
        <w:spacing w:before="40" w:after="40"/>
        <w:ind w:left="283"/>
      </w:pPr>
      <w:r>
        <w:rPr>
          <w:rFonts w:ascii="Calibri" w:hAnsi="Calibri"/>
          <w:b/>
          <w:color w:val="4A6B25"/>
          <w:sz w:val="20"/>
        </w:rPr>
        <w:t xml:space="preserve">3. </w:t>
      </w:r>
      <w:r>
        <w:rPr>
          <w:rFonts w:ascii="Calibri" w:hAnsi="Calibri"/>
          <w:b w:val="0"/>
          <w:color w:val="3A4A28"/>
          <w:sz w:val="20"/>
        </w:rPr>
        <w:t>10-year Executive Continuity Program securing CEO Mitra's leadership, with raised FY2026 FFO guidance of $6.36-$6.44/share (25% growth) and AI/Data Science platform driving industry-leading operational performance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at ~90x forward P/E (~37x forward FFO) and 20% above estimated fair value leaves minimal margin of safety — any deceleration in occupancy growth or NOI expansion could trigger significant multiple compression from $241 [6]</w:t>
      </w:r>
    </w:p>
    <w:p>
      <w:pPr>
        <w:spacing w:before="40" w:after="40"/>
        <w:ind w:left="283"/>
      </w:pPr>
      <w:r>
        <w:rPr>
          <w:rFonts w:ascii="Calibri" w:hAnsi="Calibri"/>
          <w:b/>
          <w:color w:val="4A6B25"/>
          <w:sz w:val="20"/>
        </w:rPr>
        <w:t xml:space="preserve">2. </w:t>
      </w:r>
      <w:r>
        <w:rPr>
          <w:rFonts w:ascii="Calibri" w:hAnsi="Calibri"/>
          <w:b w:val="0"/>
          <w:color w:val="3A4A28"/>
          <w:sz w:val="20"/>
        </w:rPr>
        <w:t>Interest rate sensitivity — $192.8B enterprise value implies substantial debt that increases refinancing costs, potentially compressing FFO and limiting the $12B+ acquisition pipeline in a higher-for-longer rate environment</w:t>
      </w:r>
    </w:p>
    <w:p>
      <w:pPr>
        <w:spacing w:before="40" w:after="40"/>
        <w:ind w:left="283"/>
      </w:pPr>
      <w:r>
        <w:rPr>
          <w:rFonts w:ascii="Calibri" w:hAnsi="Calibri"/>
          <w:b/>
          <w:color w:val="4A6B25"/>
          <w:sz w:val="20"/>
        </w:rPr>
        <w:t xml:space="preserve">3. </w:t>
      </w:r>
      <w:r>
        <w:rPr>
          <w:rFonts w:ascii="Calibri" w:hAnsi="Calibri"/>
          <w:b w:val="0"/>
          <w:color w:val="3A4A28"/>
          <w:sz w:val="20"/>
        </w:rPr>
        <w:t>Labor cost inflation in senior care facilities could squeeze operating margins, as the SHOP model requires significant staffing for caregiving, dining, and housekeeping — wage pressure is structural in healthcare services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Welltower operates physical senior living communities — AI cannot replace housing, in-person care, dining, social activities, or the human connection that seniors housing requires [3]. The business involves real estate ownership, construction, and hands-on facility management that are structurally immune to AI substitution. The aging demographic tailwind (baby boomers turning 80+) is a physical-world demand driver that AI accelerates rather than disrupts — as healthcare costs rise and AI diagnostic tools increase utilization, efficient senior housing becomes more essential. AI Opportunity (1/1): Welltower actively generates competitive advantage from its proprietary Data Science platform, built over a decade using ML, deep learning, and AI for occupancy optimization, pricing analytics, and operational benchmarking across 2,000+ communities [3]. This capability drives the company's industry-leading NOI growth and is a meaningful revenue-enhancing differentiator versus peers.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70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Welltower Q1 2026 Earnings Release — $3.35B Revenue (up 38.3% YoY), Record 16.4% Same-Store NOI Growth, FFO $1.47/share, May 2026</w:t>
      </w:r>
    </w:p>
    <w:p>
      <w:pPr>
        <w:spacing w:before="20" w:after="20"/>
        <w:ind w:left="170"/>
      </w:pPr>
      <w:r>
        <w:rPr>
          <w:rFonts w:ascii="Calibri" w:hAnsi="Calibri"/>
          <w:b/>
          <w:color w:val="4A6B25"/>
          <w:sz w:val="15"/>
        </w:rPr>
        <w:t xml:space="preserve">2. </w:t>
      </w:r>
      <w:r>
        <w:rPr>
          <w:rFonts w:ascii="Calibri" w:hAnsi="Calibri"/>
          <w:b w:val="0"/>
          <w:color w:val="3A4A28"/>
          <w:sz w:val="17"/>
        </w:rPr>
        <w:t>Welltower Q2 2026 Earnings Release — $3.54B Revenue (up 39.1% YoY), FFO $1.60/share (25% growth), Raised Guidance to $6.36-$6.44, PRNewswire, July 2026</w:t>
      </w:r>
    </w:p>
    <w:p>
      <w:pPr>
        <w:spacing w:before="20" w:after="20"/>
        <w:ind w:left="170"/>
      </w:pPr>
      <w:r>
        <w:rPr>
          <w:rFonts w:ascii="Calibri" w:hAnsi="Calibri"/>
          <w:b/>
          <w:color w:val="4A6B25"/>
          <w:sz w:val="15"/>
        </w:rPr>
        <w:t xml:space="preserve">3. </w:t>
      </w:r>
      <w:r>
        <w:rPr>
          <w:rFonts w:ascii="Calibri" w:hAnsi="Calibri"/>
          <w:b w:val="0"/>
          <w:color w:val="3A4A28"/>
          <w:sz w:val="17"/>
        </w:rPr>
        <w:t>CEO Shankh Mitra 2024 Annual Report Letter — Decade of AI/ML Investment, Welltower Business System, 10-Year Executive Continuity Program, Welltower.com</w:t>
      </w:r>
    </w:p>
    <w:p>
      <w:pPr>
        <w:spacing w:before="20" w:after="20"/>
        <w:ind w:left="170"/>
      </w:pPr>
      <w:r>
        <w:rPr>
          <w:rFonts w:ascii="Calibri" w:hAnsi="Calibri"/>
          <w:b/>
          <w:color w:val="4A6B25"/>
          <w:sz w:val="15"/>
        </w:rPr>
        <w:t xml:space="preserve">4. </w:t>
      </w:r>
      <w:r>
        <w:rPr>
          <w:rFonts w:ascii="Calibri" w:hAnsi="Calibri"/>
          <w:b w:val="0"/>
          <w:color w:val="3A4A28"/>
          <w:sz w:val="17"/>
        </w:rPr>
        <w:t>Welltower ESG Report — $1.04B Green Bond Allocation, 25% Scope 1&amp;2 GHG Reduction Target, 14 Positive Inspire Attributions</w:t>
      </w:r>
    </w:p>
    <w:p>
      <w:pPr>
        <w:spacing w:before="20" w:after="20"/>
        <w:ind w:left="170"/>
      </w:pPr>
      <w:r>
        <w:rPr>
          <w:rFonts w:ascii="Calibri" w:hAnsi="Calibri"/>
          <w:b/>
          <w:color w:val="4A6B25"/>
          <w:sz w:val="15"/>
        </w:rPr>
        <w:t xml:space="preserve">5. </w:t>
      </w:r>
      <w:r>
        <w:rPr>
          <w:rFonts w:ascii="Calibri" w:hAnsi="Calibri"/>
          <w:b w:val="0"/>
          <w:color w:val="3A4A28"/>
          <w:sz w:val="17"/>
        </w:rPr>
        <w:t>SEC Filings and Insider Activity — Welltower insider transactions, August 2026</w:t>
      </w:r>
    </w:p>
    <w:p>
      <w:pPr>
        <w:spacing w:before="20" w:after="20"/>
        <w:ind w:left="170"/>
      </w:pPr>
      <w:r>
        <w:rPr>
          <w:rFonts w:ascii="Calibri" w:hAnsi="Calibri"/>
          <w:b/>
          <w:color w:val="4A6B25"/>
          <w:sz w:val="15"/>
        </w:rPr>
        <w:t xml:space="preserve">6. </w:t>
      </w:r>
      <w:r>
        <w:rPr>
          <w:rFonts w:ascii="Calibri" w:hAnsi="Calibri"/>
          <w:b w:val="0"/>
          <w:color w:val="3A4A28"/>
          <w:sz w:val="17"/>
        </w:rPr>
        <w:t>StockAnalysis.com / Simply Wall St — WELL Key Statistics, D/E 42.1%, ROE 2.75%, Market Cap $173.7B,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