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WES</w:t>
      </w:r>
      <w:r>
        <w:rPr>
          <w:rFonts w:ascii="Calibri" w:hAnsi="Calibri"/>
          <w:b/>
          <w:color w:val="1A2010"/>
          <w:sz w:val="40"/>
        </w:rPr>
        <w:t xml:space="preserve">  Western Midstream Partners, LP</w:t>
      </w:r>
    </w:p>
    <w:p>
      <w:pPr>
        <w:spacing w:after="120"/>
      </w:pPr>
      <w:r>
        <w:rPr>
          <w:rFonts w:ascii="Calibri" w:hAnsi="Calibri"/>
          <w:b/>
          <w:color w:val="6E8450"/>
          <w:sz w:val="18"/>
        </w:rPr>
        <w:t>DIVIDEND SLEEVE · 2026-09-21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United States</w:t>
      </w:r>
    </w:p>
    <w:p>
      <w:pPr>
        <w:spacing w:after="80"/>
      </w:pPr>
      <w:r>
        <w:rPr>
          <w:rFonts w:ascii="Calibri" w:hAnsi="Calibri"/>
          <w:b w:val="0"/>
          <w:color w:val="3A4A28"/>
          <w:sz w:val="20"/>
        </w:rPr>
        <w:t>Western Midstream Partners, LP is a master limited partnership that acquires, owns, develops, and operates midstream assets. The partnership provides natural gas gathering, processing, and transportation services as well as crude oil gathering and produced water disposal services, primarily in the DJ Basin (Colorado) and Delaware Basin (West Texas/New Mexico). Became independently managed following Occidental Petroleum's 2019 acquisition of Anadarko. In 2026, closed the $1.67B Brazos Delaware acquisition adding 900 miles of pipeline and 460 MMcf/d of processing capacity. Q2 2026 record quarterly adjusted EBITDA of $736.5M.</w:t>
      </w:r>
    </w:p>
    <w:p>
      <w:r>
        <w:rPr>
          <w:rFonts w:ascii="Calibri" w:hAnsi="Calibri"/>
          <w:b/>
          <w:color w:val="6E8450"/>
          <w:sz w:val="18"/>
        </w:rPr>
        <w:t>1,900 Employees · https://www.westernmidstream.com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Western Midstream has accelerated growth through transformative M&amp;A — the $1.67B Brazos Delaware acquisition adding 900 miles of pipeline and 460 MMcf/d processing capacity, plus the Aris water infrastructure deal, drove revenue growth of 30% YoY and pushed 2026 revenue guidance to $4.29B [1][2]. Record quarterly adjusted EBITDA of $736.5M in Q2 2026 (+19% YoY) validates execution on acquired assets. However, the core business of gathering, processing, and transporting hydrocarbons remains fundamentally unchanged. AI Deployment (0/2): No evidence of AI-powered products or quantified AI-driven operational improvements in earnings calls or public filings. Market Share (2/2): WES holds dominant gathering and processing positions in the DJ and Delaware Basins — two of the most productive hydrocarbon basins in North America — with the Brazos acquisition cementing its position as one of the largest midstream partnerships in the U.S. [1][2]. Product Pipeline (1/2): 2026 capex budget of $850M-$1B targets organic capacity expansion in the DJ and Delaware Basins, and 2026 EBITDA guidance of $2.5-2.7B provides visibility into growth trajectory [1]. R&amp;D Intensity (0/1): As a midstream infrastructure partnership, WES does not report R&amp;D spending — capital is deployed into infrastructure construction, maintenance, and acquisitions rather than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CEO Oscar Brown emphasizes 'cultivating a culture focused on upholding foundational principles and core values' and credits this culture with the partnership's 'remarkable growth and strong value to stakeholders' [3]. However, 'The WES Way' values of partnership, customer focus, resourcefulness, and performance are generic and interchangeable with any midstream operator — no distinctive Just Cause beyond unitholder returns. Community Impact (1/2): WES released its inaugural ESG Report in November 2020 and established a Board-level ESG Committee, demonstrating institutional commitment to responsible operations [4]. Standard for the midstream sector but no distinctive large-scale community programs. Employee Retention (1/2): The CEO transition from Michael Ure to Oscar Brown (October 2024) was orderly, with Brown bringing 30 years of energy sector experience and deep familiarity from Board service since 2019 [3]. The ~1,900-employee workforce is relatively stable, but no specific retention metrics distinguish the company. Insider Buying (1/2): CEO Brown received a $6M equity grant aligning management with unitholders, but no notable net insider purchases beyond compensation-related transactions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Dividend-sleeve metrics. ROE of 34.1% and profit margin of 29.0% reflect strong fee-based cash flow conversion [5]. Forward P/E of 12.23 is well below the 20 target (score 1.0), and revenue growth of 30% YoY — boosted by the Brazos Delaware and Aris acquisitions — substantially exceeds the 10% target (score 1.0) [1][2]. D/E of 207.4% is the primary drag (score 0.40), elevated but moderated by predictable long-term contract cash flows. Estimated 5-year revenue CAGR of ~12% meets the target. The distribution profile shows 14 consecutive years paid (score 1.0, 2x weight) and 5 consecutive years of growth (score 0.5), but payout ratio of ~128% of GAAP earnings scores 0.0 — though MLP payout is more appropriately measured against distributable cash flow, which covers the distribution at ~94% of DCF [1]. 5-year distribution growth CAGR of ~24.6% reflects strong recovery from the 2020 cut (score 1.0, 2x weight). Daily dollar volume of ~$38M provides adequate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Western Midstream operates with predominantly finite game characteristics. The partnership's primary purpose is generating distributions for unitholders, and strategic decisions — including the $1.67B Brazos Delaware acquisition and Aris deal — are evaluated through a return-on-capital lens rather than a purpose-driven framework. CEO Brown's emphasis on 'foundational principles and core values' and the smooth leadership transition show organizational stability, but the partnership structure inherently prioritizes near-term cash distribution over long-term capability building. The $4.6B returned to unitholders demonstrates commitment to capital return but not to a cause beyond financial performance.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WES Way' defines values of partnership, customer focus, resourcefulness, and performance [3]. These are standard corporate values, not a Just Cause — they describe how WES operates, not why it exists or what future state it's advancing toward. CEO Brown credits culture with 'remarkable growth and strong value to stakeholders,' but the fundamental purpose is generating distributions for unitholders through efficient midstream infrastructure operation. No compelling vision of a better world inspires sacrifice or commitment beyond financial returns.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Michael Ure to Oscar Brown in October 2024 was orderly, with Brown bringing 30 years of energy experience and Board familiarity since 2019, plus a $6M equity grant aligning his interests with the partnership [3]. The ~1,900-employee workforce benefits from the relatively small organizational size that can foster closer-knit teams. However, the leadership change introduces some uncertainty, and no specific data on employee tenure, voluntary turnover, or cultural health was found to distinguish WES from midstream peers.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WES operates alongside Targa Resources, ONEOK, Enterprise Products, and Energy Transfer, and management focuses on improving operational efficiency, expanding basin positions, and executing accretive acquisitions (Brazos Delaware, Aris) rather than competitive attacks [1][2]. The partnership's strategy of concentrating on the DJ and Delaware Basins reflects a learning-oriented approach to competitive differentiation — depth over breadth.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WES's most significant transformation was the transition from Anadarko/Occidental subsidiary to independently managed partnership, requiring fundamental restructuring of governance and commercial relationships [1]. The 80% distribution cut during the 2020 commodity crash ($1.57 to $0.31/quarter) preserved balance sheet strength and was subsequently rebuilt to record levels. The Brazos Delaware and Aris acquisitions expand geographic footprint. However, the core business model of midstream gathering and processing has remained constant, with no evidence of exploring adjacent business models or energy transition investments.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WES demonstrated courage by cutting its distribution 80% during the 2020 commodity downturn when many MLP peers clung to unsustainable payouts, preserving financial flexibility that enabled the subsequent growth phase [1]. The $1.67B Brazos Delaware acquisition showed willingness to deploy capital at scale. However, the distribution cut was partly driven by Occidental's priorities rather than independent conviction, and the current strategy of maximizing distributions and unit repurchases ($4.6B returned to unitholders) reflects financial optimization rather than courageous long-term capability building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Western Midstream at 12.23x forward earnings with a 7.87% distribution yield and record EBITDA delivers compelling income-plus-growth for midstream investors [5]. Q2 2026 produced record quarterly adjusted EBITDA of $736.5M (+19% YoY), and the 2026 revenue forecast was raised to $4.29B, driven by the $1.67B Brazos Delaware acquisition adding 900 miles of pipeline and 460 MMcf/d of processing capacity [1][2]. ROE of 34.1% and profit margin of 29.0% reflect strong fee-based cash flow conversion, and the AI data center construction boom provides a structural tailwind for natural gas demand. The partnership has returned $4.6B to unitholders through distributions and repurchases, and FY2025 record adjusted EBITDA of $2.48B with 2026 guidance of $2.5-2.7B provides earnings visibility.</w:t>
      </w:r>
    </w:p>
    <w:p>
      <w:pPr>
        <w:spacing w:after="120"/>
      </w:pPr>
      <w:r>
        <w:rPr>
          <w:rFonts w:ascii="Calibri" w:hAnsi="Calibri"/>
          <w:b w:val="0"/>
          <w:color w:val="3A4A28"/>
          <w:sz w:val="20"/>
        </w:rPr>
        <w:t>The primary risk is WES's distribution exceeding GAAP net income (payout ratio ~128% of earnings), creating reliance on depreciation-shielded cash flow to fund unitholder returns — while standard for MLPs, this becomes vulnerable if capital expenditure requirements increase or production volumes decline [1][5]. D/E of 207% represents meaningful leverage risk, amplified by the $1.67B Brazos Delaware acquisition financed partly through debt. Geographic concentration in the DJ and Delaware Basins creates risk from Colorado regulatory actions, produced water disposal restrictions, or production declines in either basin. The CEO transition to Oscar Brown, while orderly, introduces execution uncertainty as he implements his strategic vision and integrates newly acquired assets [3]. Revenue growth of 30% is acquisition-driven and will normalize — the organic business grows at mid-single-digit rates, and any downturn in producer drilling activity would directly impact throughput volumes. Sustainalytics has flagged ESG controversy exposure, suggesting potential environmental or operational incidents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Brazos Delaware ($1.67B) and Aris acquisitions adding 900 miles of pipeline and 460 MMcf/d of processing capacity, driving 2026 EBITDA guidance to $2.5-2.7B and revenue forecast to $4.29B [1][2]</w:t>
      </w:r>
    </w:p>
    <w:p>
      <w:pPr>
        <w:spacing w:before="40" w:after="40"/>
        <w:ind w:left="283"/>
      </w:pPr>
      <w:r>
        <w:rPr>
          <w:rFonts w:ascii="Calibri" w:hAnsi="Calibri"/>
          <w:b/>
          <w:color w:val="4A6B25"/>
          <w:sz w:val="20"/>
        </w:rPr>
        <w:t xml:space="preserve">2. </w:t>
      </w:r>
      <w:r>
        <w:rPr>
          <w:rFonts w:ascii="Calibri" w:hAnsi="Calibri"/>
          <w:b w:val="0"/>
          <w:color w:val="3A4A28"/>
          <w:sz w:val="20"/>
        </w:rPr>
        <w:t>AI data center construction boom driving incremental natural gas demand in the DJ and Delaware Basins where WES holds dominant gathering and processing infrastructure</w:t>
      </w:r>
    </w:p>
    <w:p>
      <w:pPr>
        <w:spacing w:before="40" w:after="40"/>
        <w:ind w:left="283"/>
      </w:pPr>
      <w:r>
        <w:rPr>
          <w:rFonts w:ascii="Calibri" w:hAnsi="Calibri"/>
          <w:b/>
          <w:color w:val="4A6B25"/>
          <w:sz w:val="20"/>
        </w:rPr>
        <w:t xml:space="preserve">3. </w:t>
      </w:r>
      <w:r>
        <w:rPr>
          <w:rFonts w:ascii="Calibri" w:hAnsi="Calibri"/>
          <w:b w:val="0"/>
          <w:color w:val="3A4A28"/>
          <w:sz w:val="20"/>
        </w:rPr>
        <w:t>Distribution growth from 7.87% current yield supported by record EBITDA, reduced capital intensity ($850M-$1B capex), and management targeting continued distribution increases through 2027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Distribution payout exceeds GAAP net income at ~128% payout ratio, relying on depreciation-shielded cash flow — any increase in sustaining capex or production decline could pressure distribution sustainability [1][5]</w:t>
      </w:r>
    </w:p>
    <w:p>
      <w:pPr>
        <w:spacing w:before="40" w:after="40"/>
        <w:ind w:left="283"/>
      </w:pPr>
      <w:r>
        <w:rPr>
          <w:rFonts w:ascii="Calibri" w:hAnsi="Calibri"/>
          <w:b/>
          <w:color w:val="4A6B25"/>
          <w:sz w:val="20"/>
        </w:rPr>
        <w:t xml:space="preserve">2. </w:t>
      </w:r>
      <w:r>
        <w:rPr>
          <w:rFonts w:ascii="Calibri" w:hAnsi="Calibri"/>
          <w:b w:val="0"/>
          <w:color w:val="3A4A28"/>
          <w:sz w:val="20"/>
        </w:rPr>
        <w:t>Geographic concentration in DJ and Delaware Basins creates risk from Colorado regulatory actions, produced water disposal restrictions, or basin-level production declines</w:t>
      </w:r>
    </w:p>
    <w:p>
      <w:pPr>
        <w:spacing w:before="40" w:after="40"/>
        <w:ind w:left="283"/>
      </w:pPr>
      <w:r>
        <w:rPr>
          <w:rFonts w:ascii="Calibri" w:hAnsi="Calibri"/>
          <w:b/>
          <w:color w:val="4A6B25"/>
          <w:sz w:val="20"/>
        </w:rPr>
        <w:t xml:space="preserve">3. </w:t>
      </w:r>
      <w:r>
        <w:rPr>
          <w:rFonts w:ascii="Calibri" w:hAnsi="Calibri"/>
          <w:b w:val="0"/>
          <w:color w:val="3A4A28"/>
          <w:sz w:val="20"/>
        </w:rPr>
        <w:t>Acquisition-driven revenue growth (30% YoY) will normalize to mid-single-digit organic rates, and $1.67B Brazos Delaware acquisition adds leverage to a balance sheet already at 207% D/E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Western Midstream's core business — gathering, processing, and transporting natural gas, crude oil, and produced water through thousands of miles of physical pipeline infrastructure — is structurally immune to AI disruption [1]. AI cannot substitute for pipelines, processing plants, and water disposal facilities that require massive capital investment, long-term acreage dedication agreements, and environmental permits creating insurmountable barriers to displacement. The AI infrastructure boom is a direct tailwind — surging data center construction drives incremental natural gas and electricity demand, positioning midstream operators as beneficiaries. WES's long-term, fee-based contracts with producers provide earnings visibility regardless of commodity prices. AI Opportunity (0/1): No evidence of WES generating revenue from AI-related products or deploying AI tools with quantified operational improvements. Innovation is focused on infrastructure optimization rather than AI-driven revenue generation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Western Midstream Q4/FY2025 Record Results and 2026 Guidance — Record Adjusted EBITDA $2.481B — investors.westernmidstream.com, February 2026</w:t>
      </w:r>
    </w:p>
    <w:p>
      <w:pPr>
        <w:spacing w:before="20" w:after="20"/>
        <w:ind w:left="170"/>
      </w:pPr>
      <w:r>
        <w:rPr>
          <w:rFonts w:ascii="Calibri" w:hAnsi="Calibri"/>
          <w:b/>
          <w:color w:val="4A6B25"/>
          <w:sz w:val="15"/>
        </w:rPr>
        <w:t xml:space="preserve">2. </w:t>
      </w:r>
      <w:r>
        <w:rPr>
          <w:rFonts w:ascii="Calibri" w:hAnsi="Calibri"/>
          <w:b w:val="0"/>
          <w:color w:val="3A4A28"/>
          <w:sz w:val="17"/>
        </w:rPr>
        <w:t>Western Midstream Q1-Q2 2026 Results — Q2 Record EBITDA $736.5M (+19%), Revenue Forecast Raised to $4.29B, Brazos Delaware/Aris Acquisitions — Investing.com, StockTitan, 2026</w:t>
      </w:r>
    </w:p>
    <w:p>
      <w:pPr>
        <w:spacing w:before="20" w:after="20"/>
        <w:ind w:left="170"/>
      </w:pPr>
      <w:r>
        <w:rPr>
          <w:rFonts w:ascii="Calibri" w:hAnsi="Calibri"/>
          <w:b/>
          <w:color w:val="4A6B25"/>
          <w:sz w:val="15"/>
        </w:rPr>
        <w:t xml:space="preserve">3. </w:t>
      </w:r>
      <w:r>
        <w:rPr>
          <w:rFonts w:ascii="Calibri" w:hAnsi="Calibri"/>
          <w:b w:val="0"/>
          <w:color w:val="3A4A28"/>
          <w:sz w:val="17"/>
        </w:rPr>
        <w:t>Western Midstream CEO Oscar Brown Appointment and Corporate Culture — PRNewswire, October 2024</w:t>
      </w:r>
    </w:p>
    <w:p>
      <w:pPr>
        <w:spacing w:before="20" w:after="20"/>
        <w:ind w:left="170"/>
      </w:pPr>
      <w:r>
        <w:rPr>
          <w:rFonts w:ascii="Calibri" w:hAnsi="Calibri"/>
          <w:b/>
          <w:color w:val="4A6B25"/>
          <w:sz w:val="15"/>
        </w:rPr>
        <w:t xml:space="preserve">4. </w:t>
      </w:r>
      <w:r>
        <w:rPr>
          <w:rFonts w:ascii="Calibri" w:hAnsi="Calibri"/>
          <w:b w:val="0"/>
          <w:color w:val="3A4A28"/>
          <w:sz w:val="17"/>
        </w:rPr>
        <w:t>Western Midstream ESG Report, Sustainalytics ESG Risk Rating, and Sustainability Page — 2020-2026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WES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