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WFRD</w:t>
      </w:r>
      <w:r>
        <w:rPr>
          <w:rFonts w:ascii="Calibri" w:hAnsi="Calibri"/>
          <w:b/>
          <w:color w:val="1A2010"/>
          <w:sz w:val="40"/>
        </w:rPr>
        <w:t xml:space="preserve">  Weatherford International plc</w:t>
      </w:r>
    </w:p>
    <w:p>
      <w:pPr>
        <w:spacing w:after="120"/>
      </w:pPr>
      <w:r>
        <w:rPr>
          <w:rFonts w:ascii="Calibri" w:hAnsi="Calibri"/>
          <w:b/>
          <w:color w:val="6E8450"/>
          <w:sz w:val="18"/>
        </w:rPr>
        <w:t>GROWTH SLEEVE · 2026-09-24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NASDAQ · United States</w:t>
      </w:r>
    </w:p>
    <w:p>
      <w:pPr>
        <w:spacing w:after="80"/>
      </w:pPr>
      <w:r>
        <w:rPr>
          <w:rFonts w:ascii="Calibri" w:hAnsi="Calibri"/>
          <w:b w:val="0"/>
          <w:color w:val="3A4A28"/>
          <w:sz w:val="20"/>
        </w:rPr>
        <w:t>Weatherford International is a global energy services company providing drilling, evaluation, completion, production, and intervention solutions for oil, gas, and geothermal wells across approximately 75 countries. Operating through three segments (Drilling &amp; Evaluation, Well Construction &amp; Completions, Production &amp; Intervention), the company emerged from bankruptcy in 2019 and has been transforming under CEO Girish Saligram with a focus on digital innovation and AI-powered oilfield solutions. Q2 2026 revenue of $1.105B (-8% YoY) with adjusted EBITDA of $223M (20.2% margin) and adjusted free cash flow of $139M. Market cap ~$6.1B.</w:t>
      </w:r>
    </w:p>
    <w:p>
      <w:r>
        <w:rPr>
          <w:rFonts w:ascii="Calibri" w:hAnsi="Calibri"/>
          <w:b/>
          <w:color w:val="6E8450"/>
          <w:sz w:val="18"/>
        </w:rPr>
        <w:t>16,700 Employees · https://www.weatherford.com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Saligram (since October 2020), Weatherford has executed a post-bankruptcy transformation focused on technology-driven solutions, including an expanded eight-year partnership with TCS for AI in oilfield operations, a DataRobot AI agreement, and an AWS digital innovation partnership [4]. The company launched an AI-Powered Industrial Intelligence Suite, representing a meaningful pivot from traditional OFS to digital-enabled services. AI Deployment (1/2): Weatherford has deployed AI through multiple partnerships — TCS's five-year deal to integrate AI into oilfield operations, DataRobot for advanced analytics, and AWS for digital innovation [4]. CEO Saligram stated these innovations are 'crucial to drive operational excellence and position Weatherford as a leader in adapting to the evolving industry landscape.' However, specific AI-driven revenue or quantified cost savings have not been disclosed. Market Share (1/2): Weatherford is the fourth-largest oilfield services company globally behind SLB, Halliburton, and Baker Hughes, with meaningful market positions in managed pressure drilling, artificial lift systems, and tubular services, but it is not the dominant player in any major category [1]. Product Pipeline (1/2): The TCS five-year partnership for AI integration and the AI-Powered Industrial Intelligence Suite represent a tangible digital pipeline, though specific product launch dates and revenue visibility remain vague [4]. R&amp;D Intensity (0/1): No evidence that Weatherford's R&amp;D spending as a percentage of revenue is above the OFS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Weatherford's purpose centers on delivering energy services excellence and operational efficiency for customers — generic for the oilfield services industry and interchangeable with any major OFS peer. The company does not articulate a deeper purpose or vision beyond serving the energy sector [6]. Community Impact (0/2): No specific charitable programs, community investment initiatives, or foundation activities with dollar amounts were identified beyond standard corporate ESG reporting frameworks (GRI, SASB, CDP, TCFD) [5]. Employee Retention (1/2): Comparably scores leadership C+ (67/100), CEO Saligram at 76/100, with the executive team at 65/100 based on 95 employee ratings [6]. These are adequate but not exceptional for a company of 16,700 employees, suggesting average retention without standout cultural distinction. Insider Buying (0/2): No evidence of meaningful net insider buying by CEO Saligram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Weatherford demonstrates strong ROE of 22.8%, well above the 15% target, reflecting efficient capital deployment post-bankruptcy restructuring [5]. Forward P/E of 12.0x is attractively below the 20x target, and PEG ratio of 1.28 is within the scoring range though above the 1.0 target. D/E of 90.7% exceeds the 70% target but remains well below the 300% floor, reflecting manageable leverage. The primary headwinds are revenue decline (-8.2% YoY in Q2 2026) due to reduced drilling activity in key international markets, and a thin profit margin of 7.7% that trails the 20% target [2][3]. The 5-year revenue CAGR of approximately 5.9% (from $3.69B in 2020 to $4.92B in 2025) is below the 10% target, reflecting the post-bankruptcy recovery trajectory. Adjusted free cash flow conversion of 62.3% in Q2 2026 is a notable strength, though this is not directly scored [3]. The stock easily clears the liquidity floor with approximately $100.7M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Weatherford operates with a predominantly finite mindset, driven by its post-bankruptcy recovery imperative to maximize cash flow, reduce debt, and demonstrate consistent financial performance. The company's strategic focus on quarterly EBITDA margins, free cash flow conversion rates, and shareholder returns (dividends and buybacks) reflects a play-to-win-this-quarter orientation rather than a vision of enduring impact. While the digital transformation under Saligram shows some forward-looking thinking, the company lacks a Just Cause beyond financial optimization and has not demonstrated the kind of purpose-driven leadership that characterizes infinite game players.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Weatherford's purpose is centered on being a leading oilfield services provider that maximizes returns for shareholders — a classic finite game objective. Post-bankruptcy, the company's strategic communications focus on adjusted EBITDA margins, free cash flow conversion, and capital returns rather than any vision of a better future [1][2][3]. There is no articulated Just Cause that transcends quarterly financial performance. The company exists to serve the oil and gas industry efficiently, not to advance a larger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Weatherford has stabilized organizationally under CEO Saligram's leadership since October 2020, providing five years of leadership continuity after the disruption of bankruptcy. Comparably scores leadership at C+ (67/100) with the CEO at 76/100 [6]. The company employs 16,700 people globally across approximately 75 countries, and there are no reports of recent mass layoffs or major cultural controversies. However, Comparably's 'Top 50%' placement is merely adequate, and the bankruptcy history likely created lasting trust deficits within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Weatherford's competitive language focuses on market share defense, technological differentiation from SLB, Halliburton, and Baker Hughes, and winning contracts in international markets. There is no evidence that management frames competition as a learning opportunity or acknowledges rivals' strengths as motivation for self-improvement — the framing is consistently about 'competing successfully' rather than 'getting better' [2][3].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Weatherford's bankruptcy and subsequent restructuring represented a forced transformation that fundamentally reshaped the company — shedding legacy operations, reducing debt from $9.8B to manageable levels, and emerging with a leaner operating model [1]. The current push into digital and AI-powered solutions represents a meaningful strategic evolution from traditional OFS. However, the transformation was driven by financial necessity rather than a cause, and the company has not voluntarily abandoned a profitable business line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Saligram has made meaningful investments in digital transformation and AI partnerships (TCS, DataRobot, AWS) during a period of declining OFS revenue, choosing long-term capability building over short-term cost-cutting [4]. The company has maintained R&amp;D and technology investments despite a -8.2% revenue decline, and raised its free cash flow outlook even while lowering revenue guidance. However, these decisions are strategic pragmatism rather than principled sacrifice — the investments serve clear commercial objectives.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Weatherford at 12.0x forward earnings offers a compelling valuation for a restructured OFS company generating strong free cash flow — Q2 2026 adjusted free cash flow of $139M represented a 62.3% conversion rate, up 76% YoY, and management raised full-year FCF guidance to mid-to-high 40% conversion [3]. ROE of 22.8% exceeds the peer average, reflecting efficient capital deployment post-bankruptcy, and the PEG ratio of 1.28 suggests reasonable growth expectations. The digital transformation strategy — AI partnerships with TCS, DataRobot, and AWS — positions Weatherford to differentiate in a commoditizing OFS market. With 81% of Q2 revenue from international markets and 61% from higher-margin services, the company has structural diversification that insulates against any single basin's downturn [2][3].</w:t>
      </w:r>
    </w:p>
    <w:p>
      <w:pPr>
        <w:spacing w:after="120"/>
      </w:pPr>
      <w:r>
        <w:rPr>
          <w:rFonts w:ascii="Calibri" w:hAnsi="Calibri"/>
          <w:b w:val="0"/>
          <w:color w:val="3A4A28"/>
          <w:sz w:val="20"/>
        </w:rPr>
        <w:t>The bear case centers on cyclical headwinds, revenue deterioration, and margin pressure. Revenue declined 8% YoY in Q2 2026 and 11% for full year 2025, reflecting reduced drilling activity as E&amp;P customers exercise capital discipline amid moderate oil prices [2][3]. Operating income fell 55% YoY in Q2 2026, and EPS declined 71% YoY, demonstrating the operating leverage that works against Weatherford in a downturn. The 7.7% profit margin is thin for a company with 90.7% D/E, leaving limited buffer if revenue continues to contract. Management lowered revenue and EBITDA guidance for full year 2026, signaling continued near-term pressure. The company's history of bankruptcy (2019) raises questions about capital discipline during prolonged downturns. The Inspire Impact Score of 28 (ALIGNED) reflects clean governance but the fossil fuel exposure remains a consideration for ESG-focused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Industrial Intelligence Suite and TCS/DataRobot partnerships could differentiate Weatherford in the competitive OFS market, enabling premium pricing and recurring digital revenue streams that reduce cyclicality [4]</w:t>
      </w:r>
    </w:p>
    <w:p>
      <w:pPr>
        <w:spacing w:before="40" w:after="40"/>
        <w:ind w:left="283"/>
      </w:pPr>
      <w:r>
        <w:rPr>
          <w:rFonts w:ascii="Calibri" w:hAnsi="Calibri"/>
          <w:b/>
          <w:color w:val="4A6B25"/>
          <w:sz w:val="20"/>
        </w:rPr>
        <w:t xml:space="preserve">2. </w:t>
      </w:r>
      <w:r>
        <w:rPr>
          <w:rFonts w:ascii="Calibri" w:hAnsi="Calibri"/>
          <w:b w:val="0"/>
          <w:color w:val="3A4A28"/>
          <w:sz w:val="20"/>
        </w:rPr>
        <w:t>Rising free cash flow conversion (62.3% in Q2, raised full-year guidance) supports capital returns — the company initiated dividends in 2024 and has capacity for buybacks, creating a floor under the stock price [3]</w:t>
      </w:r>
    </w:p>
    <w:p>
      <w:pPr>
        <w:spacing w:before="40" w:after="40"/>
        <w:ind w:left="283"/>
      </w:pPr>
      <w:r>
        <w:rPr>
          <w:rFonts w:ascii="Calibri" w:hAnsi="Calibri"/>
          <w:b/>
          <w:color w:val="4A6B25"/>
          <w:sz w:val="20"/>
        </w:rPr>
        <w:t xml:space="preserve">3. </w:t>
      </w:r>
      <w:r>
        <w:rPr>
          <w:rFonts w:ascii="Calibri" w:hAnsi="Calibri"/>
          <w:b w:val="0"/>
          <w:color w:val="3A4A28"/>
          <w:sz w:val="20"/>
        </w:rPr>
        <w:t>AI data center power demand growth could drive increased oil and gas production activity, benefiting Weatherford's international drilling and completion services as energy producers invest to meet power generation needs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8% YoY with management lowering full-year guidance suggests the OFS cyclical downturn has not bottomed, and further E&amp;P capital discipline could push revenue below $4.5B annualized [2][3]</w:t>
      </w:r>
    </w:p>
    <w:p>
      <w:pPr>
        <w:spacing w:before="40" w:after="40"/>
        <w:ind w:left="283"/>
      </w:pPr>
      <w:r>
        <w:rPr>
          <w:rFonts w:ascii="Calibri" w:hAnsi="Calibri"/>
          <w:b/>
          <w:color w:val="4A6B25"/>
          <w:sz w:val="20"/>
        </w:rPr>
        <w:t xml:space="preserve">2. </w:t>
      </w:r>
      <w:r>
        <w:rPr>
          <w:rFonts w:ascii="Calibri" w:hAnsi="Calibri"/>
          <w:b w:val="0"/>
          <w:color w:val="3A4A28"/>
          <w:sz w:val="20"/>
        </w:rPr>
        <w:t>Operating income collapse of 55% YoY in Q2 2026 demonstrates extreme operating leverage — the 7.7% profit margin could approach breakeven if revenue declines accelerate beyond current guidance</w:t>
      </w:r>
    </w:p>
    <w:p>
      <w:pPr>
        <w:spacing w:before="40" w:after="40"/>
        <w:ind w:left="283"/>
      </w:pPr>
      <w:r>
        <w:rPr>
          <w:rFonts w:ascii="Calibri" w:hAnsi="Calibri"/>
          <w:b/>
          <w:color w:val="4A6B25"/>
          <w:sz w:val="20"/>
        </w:rPr>
        <w:t xml:space="preserve">3. </w:t>
      </w:r>
      <w:r>
        <w:rPr>
          <w:rFonts w:ascii="Calibri" w:hAnsi="Calibri"/>
          <w:b w:val="0"/>
          <w:color w:val="3A4A28"/>
          <w:sz w:val="20"/>
        </w:rPr>
        <w:t>Post-bankruptcy D/E of 90.7% limits financial flexibility during a prolonged downturn, and the company's 2019 bankruptcy precedent creates credibility risk with investors who remember the prior cycle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Weatherford's core business — drilling, completions, production services, and intervention on oil rigs and wellsites — is deeply physical and cannot be replaced by AI. Managed pressure drilling, cementing, artificial lift systems, and tubular handling require specialized physical equipment deployed by trained field personnel in hazardous environments [1]. AI is an enabler that can optimize drilling parameters, predict equipment failures, and improve well performance, but it cannot substitute for the physical infrastructure and human presence required at the wellsite. The energy transition and growing AI data center power demand may actually increase demand for Weatherford's services as oil and gas production needs to expand to meet electricity generation requirements. AI Opportunity (1/1): Weatherford generates early-stage AI-related revenue through its AI-Powered Industrial Intelligence Suite, TCS partnership for AI-driven oilfield operations, and DataRobot-enabled analytics capabilities [4]. While specific AI revenue figures are not disclosed, the company is actively commercializing AI solutions for customers, and CEO Saligram has made AI integration a strategic priority.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Weatherford Q4 2025 / FY2025 Earnings Release — Revenue $4.92B (-11% YoY), Net Income $431M, Operating Income $756M (-19%), February 2026</w:t>
      </w:r>
    </w:p>
    <w:p>
      <w:pPr>
        <w:spacing w:before="20" w:after="20"/>
        <w:ind w:left="170"/>
      </w:pPr>
      <w:r>
        <w:rPr>
          <w:rFonts w:ascii="Calibri" w:hAnsi="Calibri"/>
          <w:b/>
          <w:color w:val="4A6B25"/>
          <w:sz w:val="15"/>
        </w:rPr>
        <w:t xml:space="preserve">2. </w:t>
      </w:r>
      <w:r>
        <w:rPr>
          <w:rFonts w:ascii="Calibri" w:hAnsi="Calibri"/>
          <w:b w:val="0"/>
          <w:color w:val="3A4A28"/>
          <w:sz w:val="17"/>
        </w:rPr>
        <w:t>Weatherford Q1 2026 Earnings Release — Revenue $1.152B (-3% YoY), Net Income $108M, 9.4% Margin (+42% YoY), April 2026</w:t>
      </w:r>
    </w:p>
    <w:p>
      <w:pPr>
        <w:spacing w:before="20" w:after="20"/>
        <w:ind w:left="170"/>
      </w:pPr>
      <w:r>
        <w:rPr>
          <w:rFonts w:ascii="Calibri" w:hAnsi="Calibri"/>
          <w:b/>
          <w:color w:val="4A6B25"/>
          <w:sz w:val="15"/>
        </w:rPr>
        <w:t xml:space="preserve">3. </w:t>
      </w:r>
      <w:r>
        <w:rPr>
          <w:rFonts w:ascii="Calibri" w:hAnsi="Calibri"/>
          <w:b w:val="0"/>
          <w:color w:val="3A4A28"/>
          <w:sz w:val="17"/>
        </w:rPr>
        <w:t>Weatherford Q2 2026 Earnings Release — Revenue $1.105B (-8% YoY), Adjusted EBITDA $223M (20.2% Margin), FCF $139M (62.3% Conversion), July 2026</w:t>
      </w:r>
    </w:p>
    <w:p>
      <w:pPr>
        <w:spacing w:before="20" w:after="20"/>
        <w:ind w:left="170"/>
      </w:pPr>
      <w:r>
        <w:rPr>
          <w:rFonts w:ascii="Calibri" w:hAnsi="Calibri"/>
          <w:b/>
          <w:color w:val="4A6B25"/>
          <w:sz w:val="15"/>
        </w:rPr>
        <w:t xml:space="preserve">4. </w:t>
      </w:r>
      <w:r>
        <w:rPr>
          <w:rFonts w:ascii="Calibri" w:hAnsi="Calibri"/>
          <w:b w:val="0"/>
          <w:color w:val="3A4A28"/>
          <w:sz w:val="17"/>
        </w:rPr>
        <w:t>Weatherford AI Partnerships — TCS 5-Year Deal for AI Oilfield Operations, DataRobot Agreement, AWS Digital Innovation, AI-Powered Industrial Intelligence Suite,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WFRD Key Statistics: Forward PE 12.0x, D/E 90.7%, ROE 22.8%, Stock Price $84.66,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Comparably — Weatherford International Leadership Score 67/100 (C+), CEO Saligram Rating 76/100, 95 Employee Ratings,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